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11F7" w14:textId="6C68E500" w:rsidR="00BE48F8" w:rsidRPr="00132726" w:rsidRDefault="001A0268" w:rsidP="00BE48F8">
      <w:pPr>
        <w:spacing w:after="60" w:line="240" w:lineRule="auto"/>
        <w:rPr>
          <w:rStyle w:val="SubtleEmphasis"/>
        </w:rPr>
      </w:pPr>
      <w:bookmarkStart w:id="0" w:name="_Toc210471070"/>
      <w:r w:rsidRPr="003B321F">
        <w:rPr>
          <w:rFonts w:cstheme="minorHAnsi"/>
        </w:rPr>
        <w:t xml:space="preserve">  </w:t>
      </w:r>
      <w:r w:rsidR="0029346F" w:rsidRPr="003B321F">
        <w:rPr>
          <w:rFonts w:cstheme="minorHAnsi"/>
        </w:rPr>
        <w:t xml:space="preserve">                                                                                    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61"/>
        <w:gridCol w:w="1883"/>
        <w:gridCol w:w="2520"/>
        <w:gridCol w:w="2606"/>
      </w:tblGrid>
      <w:tr w:rsidR="00F56C76" w:rsidRPr="003B321F" w14:paraId="3963830D" w14:textId="77777777" w:rsidTr="003E035F">
        <w:trPr>
          <w:trHeight w:val="285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3CDCE482" w14:textId="77777777" w:rsidR="00647061" w:rsidRPr="003E035F" w:rsidRDefault="00647061" w:rsidP="00647061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Name of Applicant Organization:</w:t>
            </w:r>
          </w:p>
        </w:tc>
        <w:tc>
          <w:tcPr>
            <w:tcW w:w="3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166A" w14:textId="43A4350F" w:rsidR="00647061" w:rsidRPr="003B321F" w:rsidRDefault="00647061" w:rsidP="00647061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6C76" w:rsidRPr="003B321F" w14:paraId="21C8FDEA" w14:textId="77777777" w:rsidTr="003E035F">
        <w:trPr>
          <w:trHeight w:val="285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39A75973" w14:textId="19F1CB18" w:rsidR="00EF2A61" w:rsidRPr="003E035F" w:rsidRDefault="00EF2A61" w:rsidP="00647061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Name of Contact</w:t>
            </w:r>
            <w:r w:rsidR="008E4D5C"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 person:</w:t>
            </w:r>
          </w:p>
        </w:tc>
        <w:tc>
          <w:tcPr>
            <w:tcW w:w="3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59E8" w14:textId="4D8654DB" w:rsidR="00EF2A61" w:rsidRPr="003B321F" w:rsidRDefault="00EF2A61" w:rsidP="00647061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6C76" w:rsidRPr="003B321F" w14:paraId="2E845068" w14:textId="77777777" w:rsidTr="003E035F">
        <w:trPr>
          <w:trHeight w:val="285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36C1AB50" w14:textId="284A88A1" w:rsidR="00BB1CAB" w:rsidRPr="003E035F" w:rsidRDefault="00BB1CAB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Contact Telephone Numbers</w:t>
            </w:r>
            <w:r w:rsidR="008E4D5C"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E378" w14:textId="35722489" w:rsidR="00BB1CAB" w:rsidRPr="003B321F" w:rsidRDefault="00BB1CAB" w:rsidP="00BB1CAB">
            <w:pPr>
              <w:tabs>
                <w:tab w:val="right" w:pos="8789"/>
              </w:tabs>
              <w:suppressAutoHyphens/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F56C76" w:rsidRPr="003B321F" w14:paraId="7CC30C83" w14:textId="77777777" w:rsidTr="003E035F">
        <w:trPr>
          <w:trHeight w:val="285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250D6925" w14:textId="05196401" w:rsidR="00BB1CAB" w:rsidRPr="003E035F" w:rsidRDefault="00BB1CAB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Contact Email Addresses</w:t>
            </w:r>
            <w:r w:rsidR="008E4D5C"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6F3C" w14:textId="76F0607A" w:rsidR="00BB1CAB" w:rsidRPr="003B321F" w:rsidRDefault="00BB1CAB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6C76" w:rsidRPr="003B321F" w14:paraId="59CF7745" w14:textId="77777777" w:rsidTr="003E035F">
        <w:trPr>
          <w:trHeight w:val="28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1C3F4E0" w14:textId="77777777" w:rsidR="00BB1CAB" w:rsidRPr="003E035F" w:rsidRDefault="00BB1CAB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Title of Project:</w:t>
            </w:r>
          </w:p>
        </w:tc>
        <w:tc>
          <w:tcPr>
            <w:tcW w:w="3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15CF" w14:textId="2E72D923" w:rsidR="00BB1CAB" w:rsidRPr="003B321F" w:rsidRDefault="00034013" w:rsidP="00034013">
            <w:pPr>
              <w:tabs>
                <w:tab w:val="right" w:pos="8789"/>
              </w:tabs>
              <w:suppressAutoHyphens/>
              <w:spacing w:after="0"/>
              <w:rPr>
                <w:rFonts w:eastAsia="Times New Roman" w:cstheme="minorHAnsi"/>
                <w:b/>
                <w:color w:val="000000"/>
              </w:rPr>
            </w:pPr>
            <w:r w:rsidRPr="003B321F">
              <w:rPr>
                <w:rFonts w:eastAsia="Times New Roman" w:cstheme="minorHAnsi"/>
                <w:b/>
                <w:color w:val="000000"/>
              </w:rPr>
              <w:t xml:space="preserve">INTEGRATED EMERGENCY WATER, SANITATION AND HYGIENE (WASH) </w:t>
            </w:r>
            <w:r w:rsidR="008E4D5C">
              <w:rPr>
                <w:rFonts w:eastAsia="Times New Roman" w:cstheme="minorHAnsi"/>
                <w:b/>
                <w:color w:val="000000"/>
              </w:rPr>
              <w:t xml:space="preserve">AND </w:t>
            </w:r>
            <w:r w:rsidRPr="003B321F">
              <w:rPr>
                <w:rFonts w:eastAsia="Times New Roman" w:cstheme="minorHAnsi"/>
                <w:b/>
                <w:color w:val="000000"/>
              </w:rPr>
              <w:t>RESPONSE AND PREVENTION OF GENDER-BASED VIOLENCE (GBV)</w:t>
            </w:r>
          </w:p>
        </w:tc>
      </w:tr>
      <w:tr w:rsidR="00F56C76" w:rsidRPr="003B321F" w14:paraId="319FE413" w14:textId="77777777" w:rsidTr="003E035F">
        <w:trPr>
          <w:trHeight w:val="28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071F8071" w14:textId="77777777" w:rsidR="00BB1CAB" w:rsidRPr="003E035F" w:rsidRDefault="00BB1CAB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Proposed Start Date:</w:t>
            </w:r>
          </w:p>
        </w:tc>
        <w:tc>
          <w:tcPr>
            <w:tcW w:w="3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1184" w14:textId="11486B32" w:rsidR="00BB1CAB" w:rsidRPr="003B321F" w:rsidRDefault="00BB1CAB" w:rsidP="00271B84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6C76" w:rsidRPr="003B321F" w14:paraId="45D4D727" w14:textId="77777777" w:rsidTr="003E035F">
        <w:trPr>
          <w:trHeight w:val="28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5DFD6EB0" w14:textId="77777777" w:rsidR="00BB1CAB" w:rsidRPr="003E035F" w:rsidRDefault="00BB1CAB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Proposed End Date:</w:t>
            </w:r>
          </w:p>
        </w:tc>
        <w:tc>
          <w:tcPr>
            <w:tcW w:w="3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4235" w14:textId="22450E8B" w:rsidR="00BB1CAB" w:rsidRPr="003B321F" w:rsidRDefault="00BB1CAB" w:rsidP="00271B84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6C76" w:rsidRPr="003B321F" w14:paraId="1AEF55F0" w14:textId="77777777" w:rsidTr="003E035F">
        <w:trPr>
          <w:trHeight w:val="28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114EBC3A" w14:textId="77777777" w:rsidR="00BB1CAB" w:rsidRPr="003E035F" w:rsidRDefault="00BB1CAB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Amount of Funding Requested: </w:t>
            </w:r>
          </w:p>
        </w:tc>
        <w:tc>
          <w:tcPr>
            <w:tcW w:w="3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B45F" w14:textId="4E4BB8DF" w:rsidR="00BB1CAB" w:rsidRPr="003B321F" w:rsidRDefault="00BB1CAB" w:rsidP="00A40B1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</w:p>
        </w:tc>
      </w:tr>
      <w:tr w:rsidR="00F56C76" w:rsidRPr="003B321F" w14:paraId="41BEACD0" w14:textId="77777777" w:rsidTr="003E035F">
        <w:trPr>
          <w:trHeight w:val="28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AC09F38" w14:textId="77777777" w:rsidR="00BB1CAB" w:rsidRPr="003E035F" w:rsidRDefault="00BB1CAB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Cities/Villages, Payam, County, State:</w:t>
            </w:r>
          </w:p>
        </w:tc>
        <w:tc>
          <w:tcPr>
            <w:tcW w:w="3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08AC" w14:textId="4A001CB3" w:rsidR="00BB1CAB" w:rsidRPr="003B321F" w:rsidRDefault="00BB1CAB" w:rsidP="00931E82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56C76" w:rsidRPr="003B321F" w14:paraId="4FDDE8D2" w14:textId="77777777" w:rsidTr="003E035F">
        <w:trPr>
          <w:trHeight w:val="28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4AF88AFE" w14:textId="77777777" w:rsidR="00BB1CAB" w:rsidRPr="003E035F" w:rsidRDefault="00BB1CAB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Sector(s) /Sub Sector(s):</w:t>
            </w:r>
          </w:p>
        </w:tc>
        <w:tc>
          <w:tcPr>
            <w:tcW w:w="3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F452" w14:textId="54531A98" w:rsidR="003802A5" w:rsidRPr="003B321F" w:rsidRDefault="00D005AC" w:rsidP="003802A5">
            <w:pPr>
              <w:tabs>
                <w:tab w:val="right" w:pos="8789"/>
              </w:tabs>
              <w:suppressAutoHyphens/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Protection/ Gender-Based Violence</w:t>
            </w:r>
          </w:p>
        </w:tc>
      </w:tr>
      <w:tr w:rsidR="00D005AC" w:rsidRPr="003B321F" w14:paraId="7439B391" w14:textId="684DB8B4" w:rsidTr="003E035F">
        <w:trPr>
          <w:trHeight w:val="285"/>
        </w:trPr>
        <w:tc>
          <w:tcPr>
            <w:tcW w:w="1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0F39A3DF" w14:textId="77777777" w:rsidR="00D005AC" w:rsidRPr="003E035F" w:rsidRDefault="00D005AC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Estimated number of direct beneficiaries: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64D9" w14:textId="41EA76B3" w:rsidR="00D005AC" w:rsidRPr="003B321F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Sex/Age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4EC9" w14:textId="7FD23B4F" w:rsidR="00D005AC" w:rsidRPr="003B321F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&lt;18 years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C16A" w14:textId="1ED5031A" w:rsidR="00D005AC" w:rsidRPr="00CC1791" w:rsidRDefault="00D005AC" w:rsidP="00CC17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&gt; </w:t>
            </w:r>
            <w:r w:rsidRPr="00CC1791">
              <w:rPr>
                <w:rFonts w:eastAsia="Times New Roman" w:cstheme="minorHAnsi"/>
                <w:color w:val="000000"/>
              </w:rPr>
              <w:t>18 years</w:t>
            </w:r>
          </w:p>
        </w:tc>
      </w:tr>
      <w:tr w:rsidR="00D005AC" w:rsidRPr="003B321F" w14:paraId="3958D19C" w14:textId="77777777" w:rsidTr="003E035F">
        <w:trPr>
          <w:trHeight w:val="285"/>
        </w:trPr>
        <w:tc>
          <w:tcPr>
            <w:tcW w:w="152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43AF4254" w14:textId="77777777" w:rsidR="00D005AC" w:rsidRPr="003E035F" w:rsidRDefault="00D005AC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5C58" w14:textId="4F0507D5" w:rsidR="00D005AC" w:rsidRPr="003B321F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Female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6EE9" w14:textId="77777777" w:rsidR="00D005AC" w:rsidRPr="003B321F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E3C6" w14:textId="77777777" w:rsidR="00D005AC" w:rsidRPr="003B321F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D005AC" w:rsidRPr="003B321F" w14:paraId="2A419B23" w14:textId="63C536DA" w:rsidTr="003E035F">
        <w:trPr>
          <w:trHeight w:val="285"/>
        </w:trPr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4AAC09A" w14:textId="77777777" w:rsidR="00D005AC" w:rsidRPr="003E035F" w:rsidRDefault="00D005AC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C8C3" w14:textId="30B7DA49" w:rsidR="00D005AC" w:rsidRPr="003B321F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Male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A99C" w14:textId="77777777" w:rsidR="00D005AC" w:rsidRPr="003B321F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3399" w14:textId="77777777" w:rsidR="00D005AC" w:rsidRPr="003B321F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D005AC" w:rsidRPr="003B321F" w14:paraId="1C37EBA3" w14:textId="5DE71B17" w:rsidTr="003E035F">
        <w:trPr>
          <w:trHeight w:val="285"/>
        </w:trPr>
        <w:tc>
          <w:tcPr>
            <w:tcW w:w="1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31E94D55" w14:textId="77777777" w:rsidR="00D005AC" w:rsidRPr="003E035F" w:rsidRDefault="00D005AC" w:rsidP="00D005AC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Estimated number of indirect beneficiaries: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7185" w14:textId="17DFD7ED" w:rsidR="00D005AC" w:rsidRPr="003B321F" w:rsidRDefault="00D005AC" w:rsidP="00D005AC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Sex/Age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1B84" w14:textId="016B5AAB" w:rsidR="00D005AC" w:rsidRPr="003B321F" w:rsidRDefault="00D005AC" w:rsidP="00D005AC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&lt;18 years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2397" w14:textId="0E82151C" w:rsidR="00D005AC" w:rsidRPr="003B321F" w:rsidRDefault="00D005AC" w:rsidP="00D005AC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&gt; </w:t>
            </w:r>
            <w:r w:rsidRPr="00A37C08">
              <w:rPr>
                <w:rFonts w:eastAsia="Times New Roman" w:cstheme="minorHAnsi"/>
                <w:color w:val="000000"/>
              </w:rPr>
              <w:t>18 years</w:t>
            </w:r>
          </w:p>
        </w:tc>
      </w:tr>
      <w:tr w:rsidR="00D005AC" w:rsidRPr="003B321F" w14:paraId="04E98C24" w14:textId="77777777" w:rsidTr="003E035F">
        <w:trPr>
          <w:trHeight w:val="285"/>
        </w:trPr>
        <w:tc>
          <w:tcPr>
            <w:tcW w:w="152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32CBC3D0" w14:textId="77777777" w:rsidR="00D005AC" w:rsidRPr="003B321F" w:rsidRDefault="00D005AC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DA61" w14:textId="0950E5AA" w:rsidR="00D005AC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Female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9095" w14:textId="77777777" w:rsidR="00D005AC" w:rsidRPr="003B321F" w:rsidRDefault="00D005AC" w:rsidP="00D005AC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79B2" w14:textId="77777777" w:rsidR="00D005AC" w:rsidRPr="003B321F" w:rsidRDefault="00D005AC" w:rsidP="00D005AC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D005AC" w:rsidRPr="003B321F" w14:paraId="6F31A235" w14:textId="7BCB3DA2" w:rsidTr="003E035F">
        <w:trPr>
          <w:trHeight w:val="285"/>
        </w:trPr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28578A68" w14:textId="77777777" w:rsidR="00D005AC" w:rsidRPr="003B321F" w:rsidRDefault="00D005AC" w:rsidP="00BB1CAB">
            <w:pPr>
              <w:widowControl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887B" w14:textId="3E0B5759" w:rsidR="00D005AC" w:rsidRPr="003B321F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Male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76B0" w14:textId="77777777" w:rsidR="00D005AC" w:rsidRPr="003B321F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6C02" w14:textId="77777777" w:rsidR="00D005AC" w:rsidRPr="003B321F" w:rsidRDefault="00D005AC" w:rsidP="00BB1CAB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5E28CF0D" w14:textId="332AC227" w:rsidR="00BE48F8" w:rsidRPr="003B321F" w:rsidRDefault="00D005AC" w:rsidP="00EC545E">
      <w:pPr>
        <w:pStyle w:val="Heading4"/>
        <w:keepLines w:val="0"/>
        <w:numPr>
          <w:ilvl w:val="0"/>
          <w:numId w:val="2"/>
        </w:numPr>
        <w:pBdr>
          <w:bottom w:val="single" w:sz="4" w:space="1" w:color="auto"/>
        </w:pBdr>
        <w:spacing w:before="240" w:after="120" w:line="240" w:lineRule="auto"/>
        <w:ind w:left="90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Needs Analysis</w:t>
      </w:r>
      <w:r w:rsidR="00BE48F8" w:rsidRPr="003B321F">
        <w:rPr>
          <w:rFonts w:asciiTheme="minorHAnsi" w:hAnsiTheme="minorHAnsi" w:cstheme="minorHAnsi"/>
          <w:b w:val="0"/>
          <w:lang w:val="en-US"/>
        </w:rPr>
        <w:t xml:space="preserve"> (maximum ½ page, plus appendices if applicable)</w:t>
      </w:r>
      <w:bookmarkEnd w:id="0"/>
    </w:p>
    <w:p w14:paraId="5D82A36F" w14:textId="418DE4E4" w:rsidR="006616E0" w:rsidRPr="003B321F" w:rsidRDefault="006616E0" w:rsidP="00EC545E">
      <w:pPr>
        <w:spacing w:before="240" w:after="120"/>
        <w:jc w:val="both"/>
        <w:rPr>
          <w:rFonts w:cstheme="minorHAnsi"/>
          <w:lang w:eastAsia="en-GB"/>
        </w:rPr>
      </w:pPr>
      <w:bookmarkStart w:id="1" w:name="_Hlk500766316"/>
      <w:bookmarkStart w:id="2" w:name="_Toc210471071"/>
      <w:r w:rsidRPr="003B321F">
        <w:rPr>
          <w:rFonts w:cstheme="minorHAnsi"/>
          <w:lang w:eastAsia="en-GB"/>
        </w:rPr>
        <w:t>Should include</w:t>
      </w:r>
      <w:r w:rsidR="00D005AC">
        <w:rPr>
          <w:rFonts w:cstheme="minorHAnsi"/>
          <w:lang w:eastAsia="en-GB"/>
        </w:rPr>
        <w:t xml:space="preserve"> b</w:t>
      </w:r>
      <w:r w:rsidRPr="003B321F">
        <w:rPr>
          <w:rFonts w:cstheme="minorHAnsi"/>
          <w:lang w:eastAsia="en-GB"/>
        </w:rPr>
        <w:t xml:space="preserve">ackground information of </w:t>
      </w:r>
      <w:r w:rsidR="002276A2" w:rsidRPr="003B321F">
        <w:rPr>
          <w:rFonts w:cstheme="minorHAnsi"/>
          <w:lang w:eastAsia="en-GB"/>
        </w:rPr>
        <w:t xml:space="preserve">protracted crisis or post-emergency </w:t>
      </w:r>
      <w:r w:rsidR="00CC1791" w:rsidRPr="003B321F">
        <w:rPr>
          <w:rFonts w:cstheme="minorHAnsi"/>
          <w:lang w:eastAsia="en-GB"/>
        </w:rPr>
        <w:t>context</w:t>
      </w:r>
      <w:r w:rsidR="00CC1791">
        <w:rPr>
          <w:rFonts w:cstheme="minorHAnsi"/>
          <w:lang w:eastAsia="en-GB"/>
        </w:rPr>
        <w:t>, previous</w:t>
      </w:r>
      <w:r w:rsidR="00B53C83" w:rsidRPr="003B321F">
        <w:rPr>
          <w:rFonts w:cstheme="minorHAnsi"/>
          <w:lang w:eastAsia="en-GB"/>
        </w:rPr>
        <w:t xml:space="preserve"> and current protection and GBV risks, </w:t>
      </w:r>
      <w:r w:rsidR="00D005AC">
        <w:rPr>
          <w:rFonts w:cstheme="minorHAnsi"/>
          <w:lang w:eastAsia="en-GB"/>
        </w:rPr>
        <w:t xml:space="preserve">current gaps, challenges, capacities and </w:t>
      </w:r>
      <w:r w:rsidR="00CC1791">
        <w:rPr>
          <w:rFonts w:cstheme="minorHAnsi"/>
          <w:lang w:eastAsia="en-GB"/>
        </w:rPr>
        <w:t>opportunities</w:t>
      </w:r>
      <w:r w:rsidR="00D005AC">
        <w:rPr>
          <w:rFonts w:cstheme="minorHAnsi"/>
          <w:lang w:eastAsia="en-GB"/>
        </w:rPr>
        <w:t xml:space="preserve"> in the locations for GBV prevention, response and mainstreaming in the WASH sector. Please reference </w:t>
      </w:r>
      <w:r w:rsidR="009110B2" w:rsidRPr="003B321F">
        <w:rPr>
          <w:rFonts w:cstheme="minorHAnsi"/>
          <w:lang w:eastAsia="en-GB"/>
        </w:rPr>
        <w:t>previous assessment</w:t>
      </w:r>
      <w:r w:rsidR="00D005AC">
        <w:rPr>
          <w:rFonts w:cstheme="minorHAnsi"/>
          <w:lang w:eastAsia="en-GB"/>
        </w:rPr>
        <w:t>s</w:t>
      </w:r>
      <w:r w:rsidR="009110B2" w:rsidRPr="003B321F">
        <w:rPr>
          <w:rFonts w:cstheme="minorHAnsi"/>
          <w:lang w:eastAsia="en-GB"/>
        </w:rPr>
        <w:t xml:space="preserve"> conducted</w:t>
      </w:r>
      <w:r w:rsidR="00D005AC">
        <w:rPr>
          <w:rFonts w:cstheme="minorHAnsi"/>
          <w:lang w:eastAsia="en-GB"/>
        </w:rPr>
        <w:t xml:space="preserve"> by your organization or others in the location.</w:t>
      </w:r>
    </w:p>
    <w:bookmarkEnd w:id="1"/>
    <w:p w14:paraId="54853439" w14:textId="77777777" w:rsidR="00BE48F8" w:rsidRPr="003B321F" w:rsidRDefault="00BE48F8" w:rsidP="00EC545E">
      <w:pPr>
        <w:pStyle w:val="Heading4"/>
        <w:keepLines w:val="0"/>
        <w:numPr>
          <w:ilvl w:val="0"/>
          <w:numId w:val="2"/>
        </w:numPr>
        <w:pBdr>
          <w:bottom w:val="single" w:sz="4" w:space="1" w:color="auto"/>
        </w:pBdr>
        <w:spacing w:before="0" w:after="120" w:line="240" w:lineRule="auto"/>
        <w:rPr>
          <w:rFonts w:asciiTheme="minorHAnsi" w:hAnsiTheme="minorHAnsi" w:cstheme="minorHAnsi"/>
          <w:lang w:val="en-US"/>
        </w:rPr>
      </w:pPr>
      <w:r w:rsidRPr="003B321F">
        <w:rPr>
          <w:rFonts w:asciiTheme="minorHAnsi" w:hAnsiTheme="minorHAnsi" w:cstheme="minorHAnsi"/>
          <w:lang w:val="en-US"/>
        </w:rPr>
        <w:t xml:space="preserve">Coordination </w:t>
      </w:r>
      <w:r w:rsidRPr="003B321F">
        <w:rPr>
          <w:rFonts w:asciiTheme="minorHAnsi" w:hAnsiTheme="minorHAnsi" w:cstheme="minorHAnsi"/>
          <w:b w:val="0"/>
          <w:lang w:val="en-US"/>
        </w:rPr>
        <w:t xml:space="preserve">(maximum </w:t>
      </w:r>
      <w:r w:rsidR="00952814" w:rsidRPr="003B321F">
        <w:rPr>
          <w:rFonts w:asciiTheme="minorHAnsi" w:hAnsiTheme="minorHAnsi" w:cstheme="minorHAnsi"/>
          <w:b w:val="0"/>
          <w:lang w:val="en-US"/>
        </w:rPr>
        <w:t>1 paragraph</w:t>
      </w:r>
      <w:r w:rsidRPr="003B321F">
        <w:rPr>
          <w:rFonts w:asciiTheme="minorHAnsi" w:hAnsiTheme="minorHAnsi" w:cstheme="minorHAnsi"/>
          <w:b w:val="0"/>
          <w:lang w:val="en-US"/>
        </w:rPr>
        <w:t>)</w:t>
      </w:r>
    </w:p>
    <w:p w14:paraId="633FA6CD" w14:textId="2057923C" w:rsidR="00C66C07" w:rsidRPr="003B321F" w:rsidRDefault="008A3C66" w:rsidP="00EC545E">
      <w:pPr>
        <w:spacing w:after="120" w:line="240" w:lineRule="auto"/>
        <w:jc w:val="both"/>
        <w:rPr>
          <w:rFonts w:cstheme="minorHAnsi"/>
          <w:lang w:eastAsia="en-GB"/>
        </w:rPr>
      </w:pPr>
      <w:r w:rsidRPr="003B321F">
        <w:rPr>
          <w:rFonts w:cstheme="minorHAnsi"/>
          <w:lang w:eastAsia="en-GB"/>
        </w:rPr>
        <w:t xml:space="preserve">This </w:t>
      </w:r>
      <w:r w:rsidR="00D005AC">
        <w:rPr>
          <w:rFonts w:cstheme="minorHAnsi"/>
          <w:lang w:eastAsia="en-GB"/>
        </w:rPr>
        <w:t xml:space="preserve">section </w:t>
      </w:r>
      <w:r w:rsidRPr="003B321F">
        <w:rPr>
          <w:rFonts w:cstheme="minorHAnsi"/>
          <w:lang w:eastAsia="en-GB"/>
        </w:rPr>
        <w:t xml:space="preserve">should indicate the methodology </w:t>
      </w:r>
      <w:r w:rsidR="00034013" w:rsidRPr="003B321F">
        <w:rPr>
          <w:rFonts w:cstheme="minorHAnsi"/>
          <w:lang w:eastAsia="en-GB"/>
        </w:rPr>
        <w:t>used by organization to coordinate at field and national level</w:t>
      </w:r>
      <w:r w:rsidRPr="003B321F">
        <w:rPr>
          <w:rFonts w:cstheme="minorHAnsi"/>
          <w:lang w:eastAsia="en-GB"/>
        </w:rPr>
        <w:t xml:space="preserve">. </w:t>
      </w:r>
    </w:p>
    <w:p w14:paraId="1F62006C" w14:textId="0923F0C0" w:rsidR="008A3C66" w:rsidRPr="003B321F" w:rsidRDefault="008A3C66" w:rsidP="00C66C07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theme="minorHAnsi"/>
          <w:lang w:eastAsia="en-GB"/>
        </w:rPr>
      </w:pPr>
      <w:r w:rsidRPr="003B321F">
        <w:rPr>
          <w:rFonts w:asciiTheme="minorHAnsi" w:hAnsiTheme="minorHAnsi" w:cstheme="minorHAnsi"/>
          <w:lang w:eastAsia="en-GB"/>
        </w:rPr>
        <w:t>GBV sub cluster</w:t>
      </w:r>
      <w:r w:rsidR="00034013" w:rsidRPr="003B321F">
        <w:rPr>
          <w:rFonts w:asciiTheme="minorHAnsi" w:hAnsiTheme="minorHAnsi" w:cstheme="minorHAnsi"/>
          <w:lang w:eastAsia="en-GB"/>
        </w:rPr>
        <w:t xml:space="preserve"> </w:t>
      </w:r>
    </w:p>
    <w:p w14:paraId="2C17E3E7" w14:textId="3620C7A8" w:rsidR="00B53C83" w:rsidRPr="003B321F" w:rsidRDefault="00B53C83" w:rsidP="00B53C83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theme="minorHAnsi"/>
          <w:lang w:eastAsia="en-GB"/>
        </w:rPr>
      </w:pPr>
      <w:r w:rsidRPr="003B321F">
        <w:rPr>
          <w:rFonts w:asciiTheme="minorHAnsi" w:hAnsiTheme="minorHAnsi" w:cstheme="minorHAnsi"/>
          <w:lang w:eastAsia="en-GB"/>
        </w:rPr>
        <w:t>Other clusters including protection, child protection</w:t>
      </w:r>
      <w:r w:rsidR="009110B2" w:rsidRPr="003B321F">
        <w:rPr>
          <w:rFonts w:asciiTheme="minorHAnsi" w:hAnsiTheme="minorHAnsi" w:cstheme="minorHAnsi"/>
          <w:lang w:eastAsia="en-GB"/>
        </w:rPr>
        <w:t>,</w:t>
      </w:r>
      <w:r w:rsidRPr="003B321F">
        <w:rPr>
          <w:rFonts w:asciiTheme="minorHAnsi" w:hAnsiTheme="minorHAnsi" w:cstheme="minorHAnsi"/>
          <w:lang w:eastAsia="en-GB"/>
        </w:rPr>
        <w:t xml:space="preserve"> WASH a</w:t>
      </w:r>
      <w:r w:rsidR="00D005AC">
        <w:rPr>
          <w:rFonts w:asciiTheme="minorHAnsi" w:hAnsiTheme="minorHAnsi" w:cstheme="minorHAnsi"/>
          <w:lang w:eastAsia="en-GB"/>
        </w:rPr>
        <w:t>n</w:t>
      </w:r>
      <w:r w:rsidRPr="003B321F">
        <w:rPr>
          <w:rFonts w:asciiTheme="minorHAnsi" w:hAnsiTheme="minorHAnsi" w:cstheme="minorHAnsi"/>
          <w:lang w:eastAsia="en-GB"/>
        </w:rPr>
        <w:t>d Health</w:t>
      </w:r>
    </w:p>
    <w:p w14:paraId="5531A9FE" w14:textId="5A91D678" w:rsidR="008A3C66" w:rsidRPr="003B321F" w:rsidRDefault="00034013" w:rsidP="00C66C07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theme="minorHAnsi"/>
          <w:lang w:eastAsia="en-GB"/>
        </w:rPr>
      </w:pPr>
      <w:r w:rsidRPr="003B321F">
        <w:rPr>
          <w:rFonts w:asciiTheme="minorHAnsi" w:hAnsiTheme="minorHAnsi" w:cstheme="minorHAnsi"/>
          <w:lang w:eastAsia="en-GB"/>
        </w:rPr>
        <w:t>Authorities including Minist</w:t>
      </w:r>
      <w:r w:rsidR="008E4D5C">
        <w:rPr>
          <w:rFonts w:asciiTheme="minorHAnsi" w:hAnsiTheme="minorHAnsi" w:cstheme="minorHAnsi"/>
          <w:lang w:eastAsia="en-GB"/>
        </w:rPr>
        <w:t>ry</w:t>
      </w:r>
      <w:r w:rsidRPr="003B321F">
        <w:rPr>
          <w:rFonts w:asciiTheme="minorHAnsi" w:hAnsiTheme="minorHAnsi" w:cstheme="minorHAnsi"/>
          <w:lang w:eastAsia="en-GB"/>
        </w:rPr>
        <w:t xml:space="preserve"> of</w:t>
      </w:r>
      <w:r w:rsidR="00B53C83" w:rsidRPr="003B321F">
        <w:rPr>
          <w:rFonts w:asciiTheme="minorHAnsi" w:hAnsiTheme="minorHAnsi" w:cstheme="minorHAnsi"/>
          <w:lang w:eastAsia="en-GB"/>
        </w:rPr>
        <w:t xml:space="preserve"> Gender</w:t>
      </w:r>
      <w:r w:rsidR="008E4D5C">
        <w:rPr>
          <w:rFonts w:asciiTheme="minorHAnsi" w:hAnsiTheme="minorHAnsi" w:cstheme="minorHAnsi"/>
          <w:lang w:eastAsia="en-GB"/>
        </w:rPr>
        <w:t xml:space="preserve"> &amp; Child Welfare</w:t>
      </w:r>
    </w:p>
    <w:p w14:paraId="10170687" w14:textId="27DDAF28" w:rsidR="008A3C66" w:rsidRPr="003B321F" w:rsidRDefault="00034013" w:rsidP="008A3C6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theme="minorHAnsi"/>
          <w:lang w:eastAsia="en-GB"/>
        </w:rPr>
      </w:pPr>
      <w:r w:rsidRPr="003B321F">
        <w:rPr>
          <w:rFonts w:asciiTheme="minorHAnsi" w:hAnsiTheme="minorHAnsi" w:cstheme="minorHAnsi"/>
          <w:lang w:eastAsia="en-GB"/>
        </w:rPr>
        <w:t>Community</w:t>
      </w:r>
      <w:r w:rsidR="008E4D5C">
        <w:rPr>
          <w:rFonts w:asciiTheme="minorHAnsi" w:hAnsiTheme="minorHAnsi" w:cstheme="minorHAnsi"/>
          <w:lang w:eastAsia="en-GB"/>
        </w:rPr>
        <w:t xml:space="preserve">-based </w:t>
      </w:r>
      <w:r w:rsidRPr="003B321F">
        <w:rPr>
          <w:rFonts w:asciiTheme="minorHAnsi" w:hAnsiTheme="minorHAnsi" w:cstheme="minorHAnsi"/>
          <w:lang w:eastAsia="en-GB"/>
        </w:rPr>
        <w:t>approach.</w:t>
      </w:r>
    </w:p>
    <w:p w14:paraId="56B2976F" w14:textId="55052D22" w:rsidR="00BE48F8" w:rsidRPr="003B321F" w:rsidRDefault="00BE48F8" w:rsidP="00EC545E">
      <w:pPr>
        <w:pStyle w:val="Heading4"/>
        <w:keepLines w:val="0"/>
        <w:numPr>
          <w:ilvl w:val="0"/>
          <w:numId w:val="2"/>
        </w:numPr>
        <w:pBdr>
          <w:bottom w:val="single" w:sz="4" w:space="1" w:color="auto"/>
        </w:pBdr>
        <w:spacing w:before="0" w:after="120" w:line="240" w:lineRule="auto"/>
        <w:rPr>
          <w:rFonts w:asciiTheme="minorHAnsi" w:hAnsiTheme="minorHAnsi" w:cstheme="minorHAnsi"/>
          <w:lang w:val="en-US"/>
        </w:rPr>
      </w:pPr>
      <w:r w:rsidRPr="003B321F">
        <w:rPr>
          <w:rFonts w:asciiTheme="minorHAnsi" w:hAnsiTheme="minorHAnsi" w:cstheme="minorHAnsi"/>
          <w:lang w:val="en-US"/>
        </w:rPr>
        <w:t>Pro</w:t>
      </w:r>
      <w:r w:rsidR="00132726">
        <w:rPr>
          <w:rFonts w:asciiTheme="minorHAnsi" w:hAnsiTheme="minorHAnsi" w:cstheme="minorHAnsi"/>
          <w:lang w:val="en-US"/>
        </w:rPr>
        <w:t>ject</w:t>
      </w:r>
      <w:r w:rsidRPr="003B321F">
        <w:rPr>
          <w:rFonts w:asciiTheme="minorHAnsi" w:hAnsiTheme="minorHAnsi" w:cstheme="minorHAnsi"/>
          <w:lang w:val="en-US"/>
        </w:rPr>
        <w:t xml:space="preserve"> Goal</w:t>
      </w:r>
      <w:r w:rsidR="00132726">
        <w:rPr>
          <w:rFonts w:asciiTheme="minorHAnsi" w:hAnsiTheme="minorHAnsi" w:cstheme="minorHAnsi"/>
          <w:b w:val="0"/>
          <w:lang w:val="en-US"/>
        </w:rPr>
        <w:t xml:space="preserve"> </w:t>
      </w:r>
      <w:r w:rsidR="00132726" w:rsidRPr="00132726">
        <w:rPr>
          <w:rFonts w:asciiTheme="minorHAnsi" w:hAnsiTheme="minorHAnsi" w:cstheme="minorHAnsi"/>
          <w:lang w:val="en-US"/>
        </w:rPr>
        <w:t>&amp; Objectives</w:t>
      </w:r>
      <w:r w:rsidR="00132726">
        <w:rPr>
          <w:rFonts w:asciiTheme="minorHAnsi" w:hAnsiTheme="minorHAnsi" w:cstheme="minorHAnsi"/>
          <w:lang w:val="en-US"/>
        </w:rPr>
        <w:t xml:space="preserve"> proposed</w:t>
      </w:r>
    </w:p>
    <w:p w14:paraId="5D0D408A" w14:textId="4F7821CE" w:rsidR="004B1F0F" w:rsidRDefault="004B1F0F" w:rsidP="004B1F0F">
      <w:pPr>
        <w:spacing w:after="0" w:line="240" w:lineRule="auto"/>
      </w:pPr>
      <w:r>
        <w:rPr>
          <w:rFonts w:cstheme="minorHAnsi"/>
          <w:lang w:eastAsia="en-GB"/>
        </w:rPr>
        <w:t>Intermediate result</w:t>
      </w:r>
      <w:r w:rsidR="00CD0F2F" w:rsidRPr="003B321F">
        <w:rPr>
          <w:rFonts w:cstheme="minorHAnsi"/>
          <w:lang w:eastAsia="en-GB"/>
        </w:rPr>
        <w:t xml:space="preserve">: </w:t>
      </w:r>
      <w:r w:rsidRPr="004B1F0F">
        <w:t>Increase</w:t>
      </w:r>
      <w:r>
        <w:t>d</w:t>
      </w:r>
      <w:r w:rsidRPr="004B1F0F">
        <w:t xml:space="preserve"> understanding and capacity to prevent, mitigate and respond to GBV</w:t>
      </w:r>
    </w:p>
    <w:p w14:paraId="54DA715B" w14:textId="0F915B10" w:rsidR="00CD0F2F" w:rsidRDefault="004B1F0F" w:rsidP="004B1F0F">
      <w:pPr>
        <w:spacing w:after="0" w:line="240" w:lineRule="auto"/>
      </w:pPr>
      <w:r>
        <w:t xml:space="preserve">Outcome: </w:t>
      </w:r>
      <w:r w:rsidRPr="004B1F0F">
        <w:t>GBV is prevented in targeted geographical locations and survivors of GBV are provided with immediate life-saving services</w:t>
      </w:r>
      <w:r>
        <w:t>.</w:t>
      </w:r>
    </w:p>
    <w:p w14:paraId="5E6A30D2" w14:textId="77777777" w:rsidR="004B1F0F" w:rsidRDefault="004B1F0F" w:rsidP="004B1F0F">
      <w:pPr>
        <w:spacing w:after="0" w:line="240" w:lineRule="auto"/>
      </w:pPr>
    </w:p>
    <w:p w14:paraId="271A8FD1" w14:textId="1E4117C6" w:rsidR="00132726" w:rsidRDefault="00132726" w:rsidP="004B1F0F">
      <w:pPr>
        <w:spacing w:after="0" w:line="240" w:lineRule="auto"/>
      </w:pPr>
      <w:r>
        <w:t xml:space="preserve">Please write 3 </w:t>
      </w:r>
      <w:r w:rsidR="004B1F0F">
        <w:t>sub-</w:t>
      </w:r>
      <w:r>
        <w:t>objectives to address</w:t>
      </w:r>
      <w:r w:rsidR="004B1F0F">
        <w:t xml:space="preserve"> issues relating to</w:t>
      </w:r>
      <w:r>
        <w:t>:</w:t>
      </w:r>
    </w:p>
    <w:p w14:paraId="2358D8DF" w14:textId="15872CB2" w:rsidR="00132726" w:rsidRDefault="00132726" w:rsidP="004B1F0F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GBV mainstreaming in WASH</w:t>
      </w:r>
    </w:p>
    <w:p w14:paraId="7DCA72B1" w14:textId="0B171626" w:rsidR="00132726" w:rsidRDefault="00132726" w:rsidP="00132726">
      <w:pPr>
        <w:pStyle w:val="ListParagraph"/>
        <w:numPr>
          <w:ilvl w:val="0"/>
          <w:numId w:val="38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GBV prevention</w:t>
      </w:r>
    </w:p>
    <w:p w14:paraId="0FB960F6" w14:textId="2495BB68" w:rsidR="00132726" w:rsidRPr="00132726" w:rsidRDefault="00132726" w:rsidP="00132726">
      <w:pPr>
        <w:pStyle w:val="ListParagraph"/>
        <w:numPr>
          <w:ilvl w:val="0"/>
          <w:numId w:val="38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GBV response</w:t>
      </w:r>
    </w:p>
    <w:p w14:paraId="09045517" w14:textId="77777777" w:rsidR="00675A33" w:rsidRPr="003B321F" w:rsidRDefault="00675A33" w:rsidP="00CD0F2F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  <w:lang w:eastAsia="en-GB"/>
        </w:rPr>
      </w:pPr>
    </w:p>
    <w:bookmarkEnd w:id="2"/>
    <w:p w14:paraId="7445DDA7" w14:textId="6C66D33C" w:rsidR="00BE48F8" w:rsidRPr="003B321F" w:rsidRDefault="00BE48F8" w:rsidP="00BE48F8">
      <w:pPr>
        <w:pStyle w:val="Heading4"/>
        <w:keepLines w:val="0"/>
        <w:numPr>
          <w:ilvl w:val="0"/>
          <w:numId w:val="2"/>
        </w:numPr>
        <w:pBdr>
          <w:bottom w:val="single" w:sz="4" w:space="1" w:color="auto"/>
        </w:pBdr>
        <w:spacing w:before="0" w:after="60" w:line="240" w:lineRule="auto"/>
        <w:rPr>
          <w:rFonts w:asciiTheme="minorHAnsi" w:hAnsiTheme="minorHAnsi" w:cstheme="minorHAnsi"/>
          <w:lang w:val="en-US"/>
        </w:rPr>
      </w:pPr>
      <w:r w:rsidRPr="003B321F">
        <w:rPr>
          <w:rFonts w:asciiTheme="minorHAnsi" w:hAnsiTheme="minorHAnsi" w:cstheme="minorHAnsi"/>
          <w:lang w:val="en-US"/>
        </w:rPr>
        <w:t>Activities</w:t>
      </w:r>
      <w:r w:rsidR="00781CA8" w:rsidRPr="003B321F">
        <w:rPr>
          <w:rFonts w:asciiTheme="minorHAnsi" w:hAnsiTheme="minorHAnsi" w:cstheme="minorHAnsi"/>
          <w:lang w:val="en-US"/>
        </w:rPr>
        <w:t xml:space="preserve"> </w:t>
      </w:r>
      <w:r w:rsidR="003A6986">
        <w:rPr>
          <w:rFonts w:asciiTheme="minorHAnsi" w:hAnsiTheme="minorHAnsi" w:cstheme="minorHAnsi"/>
          <w:lang w:val="en-US"/>
        </w:rPr>
        <w:t>proposed</w:t>
      </w:r>
    </w:p>
    <w:p w14:paraId="7174EAD9" w14:textId="086401E1" w:rsidR="006616E0" w:rsidRPr="003B321F" w:rsidRDefault="006616E0" w:rsidP="0098348E">
      <w:pPr>
        <w:tabs>
          <w:tab w:val="right" w:pos="8789"/>
        </w:tabs>
        <w:suppressAutoHyphens/>
        <w:spacing w:after="0"/>
        <w:rPr>
          <w:rFonts w:eastAsia="Times New Roman" w:cstheme="minorHAnsi"/>
          <w:b/>
          <w:color w:val="000000"/>
        </w:rPr>
      </w:pPr>
    </w:p>
    <w:p w14:paraId="4D758844" w14:textId="108322C7" w:rsidR="002276A2" w:rsidRPr="003B321F" w:rsidRDefault="009A2903" w:rsidP="0098348E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 w:rsidRPr="003B321F">
        <w:rPr>
          <w:rFonts w:cstheme="minorHAnsi"/>
          <w:lang w:eastAsia="en-GB"/>
        </w:rPr>
        <w:t xml:space="preserve">INTEGRATED EMERGENCY </w:t>
      </w:r>
      <w:r w:rsidR="009674B4" w:rsidRPr="003B321F">
        <w:rPr>
          <w:rFonts w:cstheme="minorHAnsi"/>
          <w:lang w:eastAsia="en-GB"/>
        </w:rPr>
        <w:t>WATER, SANITATION AND HYGIENE (WASH)</w:t>
      </w:r>
      <w:r w:rsidRPr="003B321F">
        <w:rPr>
          <w:rFonts w:cstheme="minorHAnsi"/>
          <w:lang w:eastAsia="en-GB"/>
        </w:rPr>
        <w:t xml:space="preserve"> </w:t>
      </w:r>
      <w:r w:rsidR="00D005AC">
        <w:rPr>
          <w:rFonts w:cstheme="minorHAnsi"/>
          <w:lang w:eastAsia="en-GB"/>
        </w:rPr>
        <w:t xml:space="preserve">AND </w:t>
      </w:r>
      <w:r w:rsidRPr="003B321F">
        <w:rPr>
          <w:rFonts w:cstheme="minorHAnsi"/>
          <w:lang w:eastAsia="en-GB"/>
        </w:rPr>
        <w:t>RESPONSE AND PREVENTION OF GENDER-BASED VIOLENCE (GBV)</w:t>
      </w:r>
    </w:p>
    <w:p w14:paraId="793D1329" w14:textId="6802F217" w:rsidR="00A931FF" w:rsidRDefault="002276A2" w:rsidP="0098348E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 w:rsidRPr="003B321F">
        <w:rPr>
          <w:rFonts w:cstheme="minorHAnsi"/>
          <w:lang w:eastAsia="en-GB"/>
        </w:rPr>
        <w:t xml:space="preserve">See below </w:t>
      </w:r>
      <w:r w:rsidR="009110B2" w:rsidRPr="003B321F">
        <w:rPr>
          <w:rFonts w:cstheme="minorHAnsi"/>
          <w:lang w:eastAsia="en-GB"/>
        </w:rPr>
        <w:t>broad activity areas for i</w:t>
      </w:r>
      <w:r w:rsidR="009519F2" w:rsidRPr="003B321F">
        <w:rPr>
          <w:rFonts w:cstheme="minorHAnsi"/>
          <w:lang w:eastAsia="en-GB"/>
        </w:rPr>
        <w:t>mplemen</w:t>
      </w:r>
      <w:r w:rsidR="00CD0F2F" w:rsidRPr="003B321F">
        <w:rPr>
          <w:rFonts w:cstheme="minorHAnsi"/>
          <w:lang w:eastAsia="en-GB"/>
        </w:rPr>
        <w:t>ting Partners to consider in the proposal</w:t>
      </w:r>
      <w:r w:rsidR="00D005AC">
        <w:rPr>
          <w:rFonts w:cstheme="minorHAnsi"/>
          <w:lang w:eastAsia="en-GB"/>
        </w:rPr>
        <w:t xml:space="preserve">. Please </w:t>
      </w:r>
      <w:r w:rsidR="00830E85">
        <w:rPr>
          <w:rFonts w:cstheme="minorHAnsi"/>
          <w:lang w:eastAsia="en-GB"/>
        </w:rPr>
        <w:t xml:space="preserve"> tailor your approach considering current organizational and GBV capacities, context of operation (emergency or </w:t>
      </w:r>
      <w:r w:rsidR="00D005AC">
        <w:rPr>
          <w:rFonts w:cstheme="minorHAnsi"/>
          <w:lang w:eastAsia="en-GB"/>
        </w:rPr>
        <w:t>w</w:t>
      </w:r>
      <w:r w:rsidR="009519F2" w:rsidRPr="003B321F">
        <w:rPr>
          <w:rFonts w:cstheme="minorHAnsi"/>
          <w:lang w:eastAsia="en-GB"/>
        </w:rPr>
        <w:t>rite a technical description for</w:t>
      </w:r>
      <w:r w:rsidR="00CF54EC" w:rsidRPr="003B321F">
        <w:rPr>
          <w:rFonts w:cstheme="minorHAnsi"/>
          <w:lang w:eastAsia="en-GB"/>
        </w:rPr>
        <w:t xml:space="preserve"> each</w:t>
      </w:r>
      <w:r w:rsidR="009519F2" w:rsidRPr="003B321F">
        <w:rPr>
          <w:rFonts w:cstheme="minorHAnsi"/>
          <w:lang w:eastAsia="en-GB"/>
        </w:rPr>
        <w:t xml:space="preserve"> activity selected</w:t>
      </w:r>
      <w:r w:rsidR="00034013" w:rsidRPr="003B321F">
        <w:rPr>
          <w:rFonts w:cstheme="minorHAnsi"/>
          <w:lang w:eastAsia="en-GB"/>
        </w:rPr>
        <w:t xml:space="preserve"> in the list</w:t>
      </w:r>
      <w:r w:rsidR="009519F2" w:rsidRPr="003B321F">
        <w:rPr>
          <w:rFonts w:cstheme="minorHAnsi"/>
          <w:lang w:eastAsia="en-GB"/>
        </w:rPr>
        <w:t xml:space="preserve"> including </w:t>
      </w:r>
      <w:r w:rsidR="00CF54EC" w:rsidRPr="003B321F">
        <w:rPr>
          <w:rFonts w:cstheme="minorHAnsi"/>
          <w:lang w:eastAsia="en-GB"/>
        </w:rPr>
        <w:t xml:space="preserve">material used, </w:t>
      </w:r>
      <w:r w:rsidR="00034013" w:rsidRPr="003B321F">
        <w:rPr>
          <w:rFonts w:cstheme="minorHAnsi"/>
          <w:lang w:eastAsia="en-GB"/>
        </w:rPr>
        <w:t>community</w:t>
      </w:r>
      <w:r w:rsidR="00D005AC">
        <w:rPr>
          <w:rFonts w:cstheme="minorHAnsi"/>
          <w:lang w:eastAsia="en-GB"/>
        </w:rPr>
        <w:t>-based</w:t>
      </w:r>
      <w:r w:rsidR="00034013" w:rsidRPr="003B321F">
        <w:rPr>
          <w:rFonts w:cstheme="minorHAnsi"/>
          <w:lang w:eastAsia="en-GB"/>
        </w:rPr>
        <w:t xml:space="preserve"> </w:t>
      </w:r>
      <w:r w:rsidR="00CF54EC" w:rsidRPr="003B321F">
        <w:rPr>
          <w:rFonts w:cstheme="minorHAnsi"/>
          <w:lang w:eastAsia="en-GB"/>
        </w:rPr>
        <w:t>approach</w:t>
      </w:r>
      <w:r w:rsidR="00D84CD5" w:rsidRPr="003B321F">
        <w:rPr>
          <w:rFonts w:cstheme="minorHAnsi"/>
          <w:lang w:eastAsia="en-GB"/>
        </w:rPr>
        <w:t>, locations and</w:t>
      </w:r>
      <w:r w:rsidR="00CF54EC" w:rsidRPr="003B321F">
        <w:rPr>
          <w:rFonts w:cstheme="minorHAnsi"/>
          <w:lang w:eastAsia="en-GB"/>
        </w:rPr>
        <w:t xml:space="preserve"> beneficiaries </w:t>
      </w:r>
      <w:r w:rsidR="00034013" w:rsidRPr="003B321F">
        <w:rPr>
          <w:rFonts w:cstheme="minorHAnsi"/>
          <w:lang w:eastAsia="en-GB"/>
        </w:rPr>
        <w:t>targeted</w:t>
      </w:r>
      <w:r w:rsidR="00CF54EC" w:rsidRPr="003B321F">
        <w:rPr>
          <w:rFonts w:cstheme="minorHAnsi"/>
          <w:lang w:eastAsia="en-GB"/>
        </w:rPr>
        <w:t>.</w:t>
      </w:r>
    </w:p>
    <w:p w14:paraId="0CC4FDD5" w14:textId="77777777" w:rsidR="00A931FF" w:rsidRDefault="00A931FF" w:rsidP="00A931FF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</w:p>
    <w:p w14:paraId="0DA5A16B" w14:textId="3326F5E7" w:rsidR="00014B24" w:rsidRDefault="00014B24" w:rsidP="00014B24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jc w:val="both"/>
        <w:rPr>
          <w:rFonts w:cstheme="minorHAnsi"/>
          <w:lang w:eastAsia="en-GB"/>
        </w:rPr>
      </w:pPr>
      <w:r>
        <w:rPr>
          <w:rFonts w:eastAsia="Times New Roman" w:cstheme="minorHAnsi"/>
          <w:bCs/>
        </w:rPr>
        <w:t xml:space="preserve">Technical and practical support for mainstreaming with WASH cluster in target locations - IOM and NNGO partners </w:t>
      </w:r>
    </w:p>
    <w:p w14:paraId="4F6E1945" w14:textId="1E1C98F2" w:rsidR="00A931FF" w:rsidRPr="00A931FF" w:rsidRDefault="00A931FF" w:rsidP="00A931FF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 w:rsidRPr="00A931FF">
        <w:rPr>
          <w:rFonts w:cstheme="minorHAnsi"/>
          <w:lang w:eastAsia="en-GB"/>
        </w:rPr>
        <w:t xml:space="preserve">Risk mitigation activities including </w:t>
      </w:r>
      <w:r w:rsidR="003430D9">
        <w:rPr>
          <w:rFonts w:cstheme="minorHAnsi"/>
          <w:lang w:eastAsia="en-GB"/>
        </w:rPr>
        <w:t xml:space="preserve">GBV </w:t>
      </w:r>
      <w:r w:rsidRPr="00A931FF">
        <w:rPr>
          <w:rFonts w:cstheme="minorHAnsi"/>
          <w:lang w:eastAsia="en-GB"/>
        </w:rPr>
        <w:t xml:space="preserve">safety audits and GBV mainstreaming in WASH </w:t>
      </w:r>
    </w:p>
    <w:p w14:paraId="55D8245F" w14:textId="77777777" w:rsidR="008777B4" w:rsidRPr="00A931FF" w:rsidRDefault="008777B4" w:rsidP="008777B4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 w:rsidRPr="00A931FF">
        <w:rPr>
          <w:rFonts w:cstheme="minorHAnsi"/>
          <w:lang w:eastAsia="en-GB"/>
        </w:rPr>
        <w:t xml:space="preserve">Community mobilization and capacity building of community structures (community leaders, women's </w:t>
      </w:r>
      <w:r>
        <w:rPr>
          <w:rFonts w:cstheme="minorHAnsi"/>
          <w:lang w:eastAsia="en-GB"/>
        </w:rPr>
        <w:t xml:space="preserve">and men groups and others) and other GBV </w:t>
      </w:r>
      <w:r w:rsidRPr="00A931FF">
        <w:rPr>
          <w:rFonts w:cstheme="minorHAnsi"/>
          <w:lang w:eastAsia="en-GB"/>
        </w:rPr>
        <w:t>partners to prevent and respond GBV</w:t>
      </w:r>
    </w:p>
    <w:p w14:paraId="2C58C3D1" w14:textId="183E68FF" w:rsidR="008777B4" w:rsidRPr="00A931FF" w:rsidRDefault="008777B4" w:rsidP="008777B4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 w:rsidRPr="00A931FF">
        <w:rPr>
          <w:rFonts w:cstheme="minorHAnsi"/>
          <w:lang w:eastAsia="en-GB"/>
        </w:rPr>
        <w:t xml:space="preserve">Strengthening referral pathways </w:t>
      </w:r>
      <w:r w:rsidR="005C2BE3">
        <w:rPr>
          <w:rFonts w:cstheme="minorHAnsi"/>
          <w:lang w:eastAsia="en-GB"/>
        </w:rPr>
        <w:t>including conducting workshops with partners to support the GBV sub-cluster</w:t>
      </w:r>
    </w:p>
    <w:p w14:paraId="1D21AF61" w14:textId="1469E8AD" w:rsidR="008777B4" w:rsidRDefault="00A931FF" w:rsidP="00A931FF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 w:rsidRPr="00A931FF">
        <w:rPr>
          <w:rFonts w:cstheme="minorHAnsi"/>
          <w:lang w:eastAsia="en-GB"/>
        </w:rPr>
        <w:t xml:space="preserve">Provision of GBV Case Management and individual </w:t>
      </w:r>
      <w:r w:rsidR="003430D9">
        <w:rPr>
          <w:rFonts w:cstheme="minorHAnsi"/>
          <w:lang w:eastAsia="en-GB"/>
        </w:rPr>
        <w:t>psychosocial support</w:t>
      </w:r>
    </w:p>
    <w:p w14:paraId="4DCC569D" w14:textId="63C582EC" w:rsidR="00A931FF" w:rsidRPr="00A931FF" w:rsidRDefault="008777B4" w:rsidP="00A931FF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Provision of or strengthening of clinical management of rape </w:t>
      </w:r>
      <w:r w:rsidR="00CC1791">
        <w:rPr>
          <w:rFonts w:cstheme="minorHAnsi"/>
          <w:lang w:eastAsia="en-GB"/>
        </w:rPr>
        <w:t xml:space="preserve">(CMR) </w:t>
      </w:r>
      <w:r>
        <w:rPr>
          <w:rFonts w:cstheme="minorHAnsi"/>
          <w:lang w:eastAsia="en-GB"/>
        </w:rPr>
        <w:t>services</w:t>
      </w:r>
    </w:p>
    <w:p w14:paraId="7CD6070B" w14:textId="77777777" w:rsidR="003E035F" w:rsidRDefault="003E035F" w:rsidP="003E035F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 w:rsidRPr="00A931FF">
        <w:rPr>
          <w:rFonts w:cstheme="minorHAnsi"/>
          <w:lang w:eastAsia="en-GB"/>
        </w:rPr>
        <w:t>Distribution of dignity kits</w:t>
      </w:r>
    </w:p>
    <w:p w14:paraId="3323AA1D" w14:textId="3D7A398E" w:rsidR="00A931FF" w:rsidRPr="00A931FF" w:rsidRDefault="00A931FF" w:rsidP="00A931FF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 w:rsidRPr="00A931FF">
        <w:rPr>
          <w:rFonts w:cstheme="minorHAnsi"/>
          <w:lang w:eastAsia="en-GB"/>
        </w:rPr>
        <w:t xml:space="preserve">Provision of psychosocial </w:t>
      </w:r>
      <w:r w:rsidR="00865A5A">
        <w:rPr>
          <w:rFonts w:cstheme="minorHAnsi"/>
          <w:lang w:eastAsia="en-GB"/>
        </w:rPr>
        <w:t>support focusing on</w:t>
      </w:r>
      <w:r w:rsidRPr="00A931FF">
        <w:rPr>
          <w:rFonts w:cstheme="minorHAnsi"/>
          <w:lang w:eastAsia="en-GB"/>
        </w:rPr>
        <w:t xml:space="preserve"> community</w:t>
      </w:r>
      <w:r w:rsidR="003430D9">
        <w:rPr>
          <w:rFonts w:cstheme="minorHAnsi"/>
          <w:lang w:eastAsia="en-GB"/>
        </w:rPr>
        <w:t>-</w:t>
      </w:r>
      <w:r w:rsidRPr="00A931FF">
        <w:rPr>
          <w:rFonts w:cstheme="minorHAnsi"/>
          <w:lang w:eastAsia="en-GB"/>
        </w:rPr>
        <w:t>based and non-specialized support</w:t>
      </w:r>
      <w:r w:rsidR="00A720E2">
        <w:rPr>
          <w:rFonts w:cstheme="minorHAnsi"/>
          <w:lang w:eastAsia="en-GB"/>
        </w:rPr>
        <w:t xml:space="preserve"> through women and girl’s friendly spaces</w:t>
      </w:r>
      <w:r w:rsidR="005C2BE3">
        <w:rPr>
          <w:rFonts w:cstheme="minorHAnsi"/>
          <w:lang w:eastAsia="en-GB"/>
        </w:rPr>
        <w:t xml:space="preserve"> or existing groups</w:t>
      </w:r>
    </w:p>
    <w:p w14:paraId="4F6240A0" w14:textId="409C1DA0" w:rsidR="003E035F" w:rsidRPr="00A931FF" w:rsidRDefault="003E035F" w:rsidP="00A931FF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eastAsiaTheme="minorEastAsia" w:cstheme="minorHAnsi"/>
          <w:kern w:val="24"/>
        </w:rPr>
        <w:t>Women’s leadership &amp; confidence building training and support</w:t>
      </w:r>
    </w:p>
    <w:p w14:paraId="72A82DCF" w14:textId="77777777" w:rsidR="008777B4" w:rsidRPr="00A931FF" w:rsidRDefault="008777B4" w:rsidP="008777B4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 w:rsidRPr="00A931FF">
        <w:rPr>
          <w:rFonts w:cstheme="minorHAnsi"/>
          <w:lang w:eastAsia="en-GB"/>
        </w:rPr>
        <w:t>Livelihoods for GBV survivors and those at risk</w:t>
      </w:r>
    </w:p>
    <w:p w14:paraId="0B555478" w14:textId="20782F71" w:rsidR="00A931FF" w:rsidRDefault="00A931FF" w:rsidP="00A931FF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 w:rsidRPr="00A931FF">
        <w:rPr>
          <w:rFonts w:cstheme="minorHAnsi"/>
          <w:lang w:eastAsia="en-GB"/>
        </w:rPr>
        <w:t xml:space="preserve">Awareness </w:t>
      </w:r>
      <w:r w:rsidR="003430D9">
        <w:rPr>
          <w:rFonts w:cstheme="minorHAnsi"/>
          <w:lang w:eastAsia="en-GB"/>
        </w:rPr>
        <w:t xml:space="preserve">and campaigns on </w:t>
      </w:r>
      <w:r w:rsidRPr="00A931FF">
        <w:rPr>
          <w:rFonts w:cstheme="minorHAnsi"/>
          <w:lang w:eastAsia="en-GB"/>
        </w:rPr>
        <w:t>GBV</w:t>
      </w:r>
      <w:r w:rsidR="003430D9">
        <w:rPr>
          <w:rFonts w:cstheme="minorHAnsi"/>
          <w:lang w:eastAsia="en-GB"/>
        </w:rPr>
        <w:t xml:space="preserve"> consequences, available services and risks</w:t>
      </w:r>
    </w:p>
    <w:p w14:paraId="57B7AFC8" w14:textId="4036B793" w:rsidR="003430D9" w:rsidRDefault="005C2BE3" w:rsidP="00A931FF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GBV prevention d</w:t>
      </w:r>
      <w:r w:rsidR="003430D9">
        <w:rPr>
          <w:rFonts w:cstheme="minorHAnsi"/>
          <w:lang w:eastAsia="en-GB"/>
        </w:rPr>
        <w:t xml:space="preserve">ialogues and activities to change harmful social norms causing GBV </w:t>
      </w:r>
    </w:p>
    <w:p w14:paraId="3A23DEA0" w14:textId="31C1DE44" w:rsidR="00A720E2" w:rsidRPr="00CC1791" w:rsidRDefault="00A720E2" w:rsidP="00A931FF">
      <w:pPr>
        <w:pStyle w:val="ListParagraph"/>
        <w:numPr>
          <w:ilvl w:val="0"/>
          <w:numId w:val="33"/>
        </w:numPr>
        <w:tabs>
          <w:tab w:val="right" w:pos="8789"/>
        </w:tabs>
        <w:suppressAutoHyphens/>
        <w:spacing w:after="0"/>
        <w:rPr>
          <w:rFonts w:cstheme="minorHAnsi"/>
          <w:b/>
          <w:i/>
          <w:lang w:eastAsia="en-GB"/>
        </w:rPr>
      </w:pPr>
      <w:r w:rsidRPr="00CC1791">
        <w:rPr>
          <w:rFonts w:cstheme="minorHAnsi"/>
          <w:b/>
          <w:i/>
          <w:lang w:eastAsia="en-GB"/>
        </w:rPr>
        <w:t>Pleas</w:t>
      </w:r>
      <w:r w:rsidR="005C2BE3" w:rsidRPr="00CC1791">
        <w:rPr>
          <w:rFonts w:cstheme="minorHAnsi"/>
          <w:b/>
          <w:i/>
          <w:lang w:eastAsia="en-GB"/>
        </w:rPr>
        <w:t xml:space="preserve">e include specific activities </w:t>
      </w:r>
      <w:r w:rsidRPr="00CC1791">
        <w:rPr>
          <w:rFonts w:cstheme="minorHAnsi"/>
          <w:b/>
          <w:i/>
          <w:lang w:eastAsia="en-GB"/>
        </w:rPr>
        <w:t>to address cross-cutting issues</w:t>
      </w:r>
      <w:r w:rsidR="005C2BE3" w:rsidRPr="00CC1791">
        <w:rPr>
          <w:rFonts w:cstheme="minorHAnsi"/>
          <w:b/>
          <w:i/>
          <w:lang w:eastAsia="en-GB"/>
        </w:rPr>
        <w:t xml:space="preserve"> (described in more detail in section V) either as sub-activities or separate activities, to ensure these are adequately integrated into the project design.</w:t>
      </w:r>
      <w:r w:rsidRPr="00CC1791">
        <w:rPr>
          <w:rFonts w:cstheme="minorHAnsi"/>
          <w:b/>
          <w:i/>
          <w:lang w:eastAsia="en-GB"/>
        </w:rPr>
        <w:t xml:space="preserve"> </w:t>
      </w:r>
    </w:p>
    <w:p w14:paraId="152379BD" w14:textId="540E561D" w:rsidR="00B53C83" w:rsidRDefault="00B53C83" w:rsidP="0098348E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</w:p>
    <w:p w14:paraId="3EB07D2A" w14:textId="45BA0573" w:rsidR="003430D9" w:rsidRPr="003B321F" w:rsidRDefault="003430D9" w:rsidP="00CC1791">
      <w:pPr>
        <w:pStyle w:val="Heading4"/>
        <w:keepLines w:val="0"/>
        <w:numPr>
          <w:ilvl w:val="0"/>
          <w:numId w:val="2"/>
        </w:numPr>
        <w:pBdr>
          <w:bottom w:val="single" w:sz="4" w:space="1" w:color="auto"/>
        </w:pBdr>
        <w:spacing w:before="0" w:after="6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Cross-cutting issues</w:t>
      </w:r>
    </w:p>
    <w:p w14:paraId="044C6040" w14:textId="7B4CBD66" w:rsidR="003A6986" w:rsidRDefault="003430D9" w:rsidP="0098348E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Please describe how you will address issues of gender equality, environmental protection, disability and non-discrimination</w:t>
      </w:r>
      <w:r w:rsidR="003A6986">
        <w:rPr>
          <w:rFonts w:cstheme="minorHAnsi"/>
          <w:lang w:eastAsia="en-GB"/>
        </w:rPr>
        <w:t xml:space="preserve"> and inclusion</w:t>
      </w:r>
      <w:r>
        <w:rPr>
          <w:rFonts w:cstheme="minorHAnsi"/>
          <w:lang w:eastAsia="en-GB"/>
        </w:rPr>
        <w:t>, especially of marginalized groups, including adolescent girls, minority ethnic groups</w:t>
      </w:r>
      <w:r w:rsidR="00132726">
        <w:rPr>
          <w:rFonts w:cstheme="minorHAnsi"/>
          <w:lang w:eastAsia="en-GB"/>
        </w:rPr>
        <w:t xml:space="preserve"> in the project</w:t>
      </w:r>
      <w:r>
        <w:rPr>
          <w:rFonts w:cstheme="minorHAnsi"/>
          <w:lang w:eastAsia="en-GB"/>
        </w:rPr>
        <w:t xml:space="preserve">. </w:t>
      </w:r>
    </w:p>
    <w:p w14:paraId="7AEDB2FA" w14:textId="77777777" w:rsidR="003A6986" w:rsidRDefault="003A6986" w:rsidP="0098348E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</w:p>
    <w:p w14:paraId="144C5601" w14:textId="1C88658B" w:rsidR="003A6986" w:rsidRDefault="003A6986" w:rsidP="0098348E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What approach will you use to ensure accountability to affected populations, including communications on entitlements, access to complaints mechanisms and </w:t>
      </w:r>
      <w:r w:rsidR="003430D9">
        <w:rPr>
          <w:rFonts w:cstheme="minorHAnsi"/>
          <w:lang w:eastAsia="en-GB"/>
        </w:rPr>
        <w:t>protection from sexual exploitation and abuse</w:t>
      </w:r>
      <w:r w:rsidR="00132726">
        <w:rPr>
          <w:rFonts w:cstheme="minorHAnsi"/>
          <w:lang w:eastAsia="en-GB"/>
        </w:rPr>
        <w:t>?</w:t>
      </w:r>
    </w:p>
    <w:p w14:paraId="70C4E058" w14:textId="77777777" w:rsidR="003A6986" w:rsidRDefault="003A6986" w:rsidP="0098348E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</w:p>
    <w:p w14:paraId="7A0CA647" w14:textId="268DA0EB" w:rsidR="003430D9" w:rsidRDefault="00132726" w:rsidP="0098348E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Please include measures you will take to ensure </w:t>
      </w:r>
      <w:r w:rsidR="00340F9C">
        <w:rPr>
          <w:rFonts w:cstheme="minorHAnsi"/>
          <w:lang w:eastAsia="en-GB"/>
        </w:rPr>
        <w:t xml:space="preserve">gender balance among staff including in decision-making roles, </w:t>
      </w:r>
      <w:r>
        <w:rPr>
          <w:rFonts w:cstheme="minorHAnsi"/>
          <w:lang w:eastAsia="en-GB"/>
        </w:rPr>
        <w:t>s</w:t>
      </w:r>
      <w:r w:rsidR="003430D9">
        <w:rPr>
          <w:rFonts w:cstheme="minorHAnsi"/>
          <w:lang w:eastAsia="en-GB"/>
        </w:rPr>
        <w:t xml:space="preserve">taff wellbeing and </w:t>
      </w:r>
      <w:r w:rsidR="00340F9C">
        <w:rPr>
          <w:rFonts w:cstheme="minorHAnsi"/>
          <w:lang w:eastAsia="en-GB"/>
        </w:rPr>
        <w:t xml:space="preserve">creating a </w:t>
      </w:r>
      <w:r w:rsidR="003430D9">
        <w:rPr>
          <w:rFonts w:cstheme="minorHAnsi"/>
          <w:lang w:eastAsia="en-GB"/>
        </w:rPr>
        <w:t>respectful working environment</w:t>
      </w:r>
      <w:r>
        <w:rPr>
          <w:rFonts w:cstheme="minorHAnsi"/>
          <w:lang w:eastAsia="en-GB"/>
        </w:rPr>
        <w:t xml:space="preserve">. </w:t>
      </w:r>
    </w:p>
    <w:p w14:paraId="25D15797" w14:textId="1A63A6C5" w:rsidR="003430D9" w:rsidRDefault="003430D9" w:rsidP="0098348E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</w:p>
    <w:p w14:paraId="753C1F5A" w14:textId="69AECD01" w:rsidR="003A6986" w:rsidRDefault="003A6986" w:rsidP="003A6986">
      <w:pPr>
        <w:pStyle w:val="Heading4"/>
        <w:keepLines w:val="0"/>
        <w:numPr>
          <w:ilvl w:val="0"/>
          <w:numId w:val="37"/>
        </w:numPr>
        <w:pBdr>
          <w:bottom w:val="single" w:sz="4" w:space="1" w:color="auto"/>
        </w:pBdr>
        <w:spacing w:before="0" w:after="6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 xml:space="preserve">Technical support required </w:t>
      </w:r>
      <w:r w:rsidRPr="00132726">
        <w:rPr>
          <w:rFonts w:asciiTheme="minorHAnsi" w:hAnsiTheme="minorHAnsi" w:cstheme="minorHAnsi"/>
          <w:b w:val="0"/>
          <w:lang w:val="en-US"/>
        </w:rPr>
        <w:t>(to be further defined between IOM and partner)</w:t>
      </w:r>
    </w:p>
    <w:p w14:paraId="7C0185FD" w14:textId="75F73F40" w:rsidR="003A6986" w:rsidRDefault="003A6986" w:rsidP="0098348E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Please identify which areas of technical capacity support you would require from IOM to further strengthen existing activities and to ensure project delivery adheres to GBV minimum standards. </w:t>
      </w:r>
      <w:r w:rsidR="003E035F">
        <w:rPr>
          <w:rFonts w:cstheme="minorHAnsi"/>
          <w:lang w:eastAsia="en-GB"/>
        </w:rPr>
        <w:t xml:space="preserve">Support areas can be refined based on the </w:t>
      </w:r>
      <w:hyperlink r:id="rId8" w:history="1">
        <w:r w:rsidR="003E035F" w:rsidRPr="003E035F">
          <w:rPr>
            <w:rStyle w:val="Hyperlink"/>
            <w:rFonts w:cstheme="minorHAnsi"/>
            <w:lang w:eastAsia="en-GB"/>
          </w:rPr>
          <w:t>GBV in Emergencies Minimum Standards</w:t>
        </w:r>
      </w:hyperlink>
      <w:r w:rsidR="003E035F">
        <w:rPr>
          <w:rFonts w:cstheme="minorHAnsi"/>
          <w:lang w:eastAsia="en-GB"/>
        </w:rPr>
        <w:t xml:space="preserve"> could include:</w:t>
      </w:r>
    </w:p>
    <w:p w14:paraId="02C9D0B2" w14:textId="262D8B70" w:rsidR="003E035F" w:rsidRDefault="003E035F" w:rsidP="003E035F">
      <w:pPr>
        <w:pStyle w:val="ListParagraph"/>
        <w:numPr>
          <w:ilvl w:val="0"/>
          <w:numId w:val="40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GBV basic concepts and adherence to GBV guiding principles</w:t>
      </w:r>
    </w:p>
    <w:p w14:paraId="3C4B0D72" w14:textId="36677E10" w:rsidR="003E035F" w:rsidRDefault="003E035F" w:rsidP="003E035F">
      <w:pPr>
        <w:pStyle w:val="ListParagraph"/>
        <w:numPr>
          <w:ilvl w:val="0"/>
          <w:numId w:val="40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GBV mainstreaming in WASH</w:t>
      </w:r>
    </w:p>
    <w:p w14:paraId="3B5BEC2D" w14:textId="720E9447" w:rsidR="003E035F" w:rsidRDefault="003E035F" w:rsidP="003E035F">
      <w:pPr>
        <w:pStyle w:val="ListParagraph"/>
        <w:numPr>
          <w:ilvl w:val="0"/>
          <w:numId w:val="40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GBV case management</w:t>
      </w:r>
    </w:p>
    <w:p w14:paraId="345B6047" w14:textId="4CA92727" w:rsidR="003E035F" w:rsidRDefault="003E035F" w:rsidP="003E035F">
      <w:pPr>
        <w:pStyle w:val="ListParagraph"/>
        <w:numPr>
          <w:ilvl w:val="0"/>
          <w:numId w:val="40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PSS, counselling and PSS activities such as Mindfulness-Based Stress Reduction</w:t>
      </w:r>
    </w:p>
    <w:p w14:paraId="24DCE1F5" w14:textId="74891996" w:rsidR="003E035F" w:rsidRDefault="003E035F" w:rsidP="003E035F">
      <w:pPr>
        <w:pStyle w:val="ListParagraph"/>
        <w:numPr>
          <w:ilvl w:val="0"/>
          <w:numId w:val="40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Establishing referral pathways</w:t>
      </w:r>
    </w:p>
    <w:p w14:paraId="4AA77AF0" w14:textId="332D9C21" w:rsidR="003E035F" w:rsidRDefault="003E035F" w:rsidP="003E035F">
      <w:pPr>
        <w:pStyle w:val="ListParagraph"/>
        <w:numPr>
          <w:ilvl w:val="0"/>
          <w:numId w:val="40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GBV aspects of CMR</w:t>
      </w:r>
    </w:p>
    <w:p w14:paraId="77CB6FF5" w14:textId="0C46AA87" w:rsidR="003E035F" w:rsidRDefault="004739F9" w:rsidP="003E035F">
      <w:pPr>
        <w:pStyle w:val="ListParagraph"/>
        <w:numPr>
          <w:ilvl w:val="0"/>
          <w:numId w:val="40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Women’s leadership and confidence building training</w:t>
      </w:r>
    </w:p>
    <w:p w14:paraId="0E08C4D4" w14:textId="3CAACA33" w:rsidR="004739F9" w:rsidRDefault="004739F9" w:rsidP="003E035F">
      <w:pPr>
        <w:pStyle w:val="ListParagraph"/>
        <w:numPr>
          <w:ilvl w:val="0"/>
          <w:numId w:val="40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Developing effective messaging on GBV, and methods for community engagement</w:t>
      </w:r>
    </w:p>
    <w:p w14:paraId="04527578" w14:textId="299E2FCE" w:rsidR="004739F9" w:rsidRPr="004739F9" w:rsidRDefault="004739F9" w:rsidP="004739F9">
      <w:pPr>
        <w:pStyle w:val="ListParagraph"/>
        <w:numPr>
          <w:ilvl w:val="0"/>
          <w:numId w:val="40"/>
        </w:num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Conducting assessments and KAPs surveys</w:t>
      </w:r>
    </w:p>
    <w:p w14:paraId="21C68002" w14:textId="77777777" w:rsidR="003A6986" w:rsidRPr="003B321F" w:rsidRDefault="003A6986" w:rsidP="0098348E">
      <w:pPr>
        <w:tabs>
          <w:tab w:val="right" w:pos="8789"/>
        </w:tabs>
        <w:suppressAutoHyphens/>
        <w:spacing w:after="0"/>
        <w:rPr>
          <w:rFonts w:cstheme="minorHAnsi"/>
          <w:lang w:eastAsia="en-GB"/>
        </w:rPr>
      </w:pPr>
    </w:p>
    <w:p w14:paraId="79A0B929" w14:textId="61793D3B" w:rsidR="006624DE" w:rsidRPr="003B321F" w:rsidRDefault="00BE48F8" w:rsidP="00CC1791">
      <w:pPr>
        <w:pStyle w:val="Heading4"/>
        <w:keepLines w:val="0"/>
        <w:numPr>
          <w:ilvl w:val="0"/>
          <w:numId w:val="2"/>
        </w:numPr>
        <w:pBdr>
          <w:bottom w:val="single" w:sz="4" w:space="0" w:color="auto"/>
        </w:pBdr>
        <w:spacing w:before="0" w:after="60" w:line="240" w:lineRule="auto"/>
        <w:rPr>
          <w:rFonts w:asciiTheme="minorHAnsi" w:hAnsiTheme="minorHAnsi" w:cstheme="minorHAnsi"/>
          <w:lang w:val="en-US"/>
        </w:rPr>
      </w:pPr>
      <w:r w:rsidRPr="003B321F">
        <w:rPr>
          <w:rFonts w:asciiTheme="minorHAnsi" w:hAnsiTheme="minorHAnsi" w:cstheme="minorHAnsi"/>
          <w:lang w:val="en-US"/>
        </w:rPr>
        <w:t>Exit or Transition Strategy</w:t>
      </w:r>
    </w:p>
    <w:p w14:paraId="5C11679C" w14:textId="5919FEFA" w:rsidR="005E2684" w:rsidRPr="003B321F" w:rsidRDefault="008529FB" w:rsidP="003F5D7D">
      <w:pPr>
        <w:spacing w:after="120"/>
        <w:jc w:val="both"/>
        <w:rPr>
          <w:rFonts w:eastAsia="Times New Roman" w:cstheme="minorHAnsi"/>
          <w:color w:val="000000"/>
        </w:rPr>
      </w:pPr>
      <w:r w:rsidRPr="003B321F">
        <w:rPr>
          <w:rFonts w:eastAsia="Times New Roman" w:cstheme="minorHAnsi"/>
          <w:color w:val="000000"/>
        </w:rPr>
        <w:t xml:space="preserve">Describe the </w:t>
      </w:r>
      <w:r w:rsidR="003430D9">
        <w:rPr>
          <w:rFonts w:eastAsia="Times New Roman" w:cstheme="minorHAnsi"/>
          <w:color w:val="000000"/>
        </w:rPr>
        <w:t>s</w:t>
      </w:r>
      <w:r w:rsidRPr="003B321F">
        <w:rPr>
          <w:rFonts w:eastAsia="Times New Roman" w:cstheme="minorHAnsi"/>
          <w:color w:val="000000"/>
        </w:rPr>
        <w:t xml:space="preserve">trategy </w:t>
      </w:r>
      <w:r w:rsidR="00132726">
        <w:rPr>
          <w:rFonts w:eastAsia="Times New Roman" w:cstheme="minorHAnsi"/>
          <w:color w:val="000000"/>
        </w:rPr>
        <w:t>that will be put in place</w:t>
      </w:r>
      <w:r w:rsidR="00D63902" w:rsidRPr="003B321F">
        <w:rPr>
          <w:rFonts w:eastAsia="Times New Roman" w:cstheme="minorHAnsi"/>
          <w:color w:val="000000"/>
        </w:rPr>
        <w:t xml:space="preserve"> by </w:t>
      </w:r>
      <w:r w:rsidR="003430D9">
        <w:rPr>
          <w:rFonts w:eastAsia="Times New Roman" w:cstheme="minorHAnsi"/>
          <w:color w:val="000000"/>
        </w:rPr>
        <w:t>the partner</w:t>
      </w:r>
      <w:r w:rsidR="003430D9" w:rsidRPr="003B321F">
        <w:rPr>
          <w:rFonts w:eastAsia="Times New Roman" w:cstheme="minorHAnsi"/>
          <w:color w:val="000000"/>
        </w:rPr>
        <w:t xml:space="preserve"> </w:t>
      </w:r>
      <w:r w:rsidR="003430D9">
        <w:rPr>
          <w:rFonts w:eastAsia="Times New Roman" w:cstheme="minorHAnsi"/>
          <w:color w:val="000000"/>
        </w:rPr>
        <w:t>for</w:t>
      </w:r>
      <w:r w:rsidRPr="003B321F">
        <w:rPr>
          <w:rFonts w:eastAsia="Times New Roman" w:cstheme="minorHAnsi"/>
          <w:color w:val="000000"/>
        </w:rPr>
        <w:t xml:space="preserve"> project </w:t>
      </w:r>
      <w:r w:rsidR="003430D9" w:rsidRPr="003B321F">
        <w:rPr>
          <w:rFonts w:eastAsia="Times New Roman" w:cstheme="minorHAnsi"/>
          <w:color w:val="000000"/>
        </w:rPr>
        <w:t>sustainabi</w:t>
      </w:r>
      <w:r w:rsidR="003430D9">
        <w:rPr>
          <w:rFonts w:eastAsia="Times New Roman" w:cstheme="minorHAnsi"/>
          <w:color w:val="000000"/>
        </w:rPr>
        <w:t>lity</w:t>
      </w:r>
      <w:r w:rsidRPr="003B321F">
        <w:rPr>
          <w:rFonts w:eastAsia="Times New Roman" w:cstheme="minorHAnsi"/>
          <w:color w:val="000000"/>
        </w:rPr>
        <w:t xml:space="preserve"> and </w:t>
      </w:r>
      <w:r w:rsidR="003430D9">
        <w:rPr>
          <w:rFonts w:eastAsia="Times New Roman" w:cstheme="minorHAnsi"/>
          <w:color w:val="000000"/>
        </w:rPr>
        <w:t>for continuation of service provision, where proposed.</w:t>
      </w:r>
    </w:p>
    <w:p w14:paraId="3141899B" w14:textId="77777777" w:rsidR="00BE48F8" w:rsidRPr="003B321F" w:rsidRDefault="00BE48F8" w:rsidP="00CC1791">
      <w:pPr>
        <w:pStyle w:val="Heading4"/>
        <w:keepLines w:val="0"/>
        <w:numPr>
          <w:ilvl w:val="0"/>
          <w:numId w:val="2"/>
        </w:numPr>
        <w:pBdr>
          <w:bottom w:val="single" w:sz="4" w:space="1" w:color="auto"/>
        </w:pBdr>
        <w:spacing w:before="0" w:after="60" w:line="240" w:lineRule="auto"/>
        <w:rPr>
          <w:rFonts w:asciiTheme="minorHAnsi" w:hAnsiTheme="minorHAnsi" w:cstheme="minorHAnsi"/>
          <w:lang w:val="en-US"/>
        </w:rPr>
      </w:pPr>
      <w:r w:rsidRPr="003B321F">
        <w:rPr>
          <w:rFonts w:asciiTheme="minorHAnsi" w:hAnsiTheme="minorHAnsi" w:cstheme="minorHAnsi"/>
          <w:lang w:val="en-US"/>
        </w:rPr>
        <w:t xml:space="preserve">Risks and Assumptions </w:t>
      </w:r>
    </w:p>
    <w:p w14:paraId="227BBB46" w14:textId="2BB86A85" w:rsidR="00D0738B" w:rsidRPr="007B49AD" w:rsidRDefault="00D0738B" w:rsidP="007B49AD">
      <w:pPr>
        <w:rPr>
          <w:rFonts w:cstheme="minorHAnsi"/>
        </w:rPr>
      </w:pPr>
      <w:r w:rsidRPr="003430D9">
        <w:rPr>
          <w:rFonts w:cstheme="minorHAnsi"/>
        </w:rPr>
        <w:t xml:space="preserve">Describe </w:t>
      </w:r>
      <w:r w:rsidR="003430D9">
        <w:rPr>
          <w:rFonts w:cstheme="minorHAnsi"/>
        </w:rPr>
        <w:t>r</w:t>
      </w:r>
      <w:r w:rsidRPr="003430D9">
        <w:rPr>
          <w:rFonts w:cstheme="minorHAnsi"/>
        </w:rPr>
        <w:t>isk</w:t>
      </w:r>
      <w:r w:rsidR="003430D9">
        <w:rPr>
          <w:rFonts w:cstheme="minorHAnsi"/>
        </w:rPr>
        <w:t>s</w:t>
      </w:r>
      <w:r w:rsidRPr="003430D9">
        <w:rPr>
          <w:rFonts w:cstheme="minorHAnsi"/>
        </w:rPr>
        <w:t xml:space="preserve"> and assumptions of your project using the guideline below:</w:t>
      </w:r>
    </w:p>
    <w:p w14:paraId="2E0FEB46" w14:textId="761EA521" w:rsidR="00582B05" w:rsidRPr="003B321F" w:rsidRDefault="00582B05" w:rsidP="00582B05">
      <w:pPr>
        <w:pStyle w:val="ListParagraph"/>
        <w:numPr>
          <w:ilvl w:val="0"/>
          <w:numId w:val="26"/>
        </w:numPr>
        <w:ind w:left="450"/>
        <w:rPr>
          <w:rFonts w:asciiTheme="minorHAnsi" w:hAnsiTheme="minorHAnsi" w:cstheme="minorHAnsi"/>
        </w:rPr>
      </w:pPr>
      <w:r w:rsidRPr="003B321F">
        <w:rPr>
          <w:rFonts w:asciiTheme="minorHAnsi" w:hAnsiTheme="minorHAnsi" w:cstheme="minorHAnsi"/>
        </w:rPr>
        <w:t xml:space="preserve">Beneficiaries actively engage </w:t>
      </w:r>
      <w:r w:rsidR="003A6986">
        <w:rPr>
          <w:rFonts w:asciiTheme="minorHAnsi" w:hAnsiTheme="minorHAnsi" w:cstheme="minorHAnsi"/>
        </w:rPr>
        <w:t xml:space="preserve">and are supportive of </w:t>
      </w:r>
      <w:r w:rsidRPr="003B321F">
        <w:rPr>
          <w:rFonts w:asciiTheme="minorHAnsi" w:hAnsiTheme="minorHAnsi" w:cstheme="minorHAnsi"/>
        </w:rPr>
        <w:t xml:space="preserve">the </w:t>
      </w:r>
      <w:r w:rsidR="0046130B">
        <w:rPr>
          <w:rFonts w:asciiTheme="minorHAnsi" w:hAnsiTheme="minorHAnsi" w:cstheme="minorHAnsi"/>
        </w:rPr>
        <w:t>project</w:t>
      </w:r>
      <w:r w:rsidRPr="003B321F">
        <w:rPr>
          <w:rFonts w:asciiTheme="minorHAnsi" w:hAnsiTheme="minorHAnsi" w:cstheme="minorHAnsi"/>
        </w:rPr>
        <w:t>.</w:t>
      </w:r>
    </w:p>
    <w:p w14:paraId="33C1A9AF" w14:textId="0F7A6DC3" w:rsidR="00582B05" w:rsidRPr="003B321F" w:rsidRDefault="00582B05" w:rsidP="00582B05">
      <w:pPr>
        <w:pStyle w:val="ListParagraph"/>
        <w:numPr>
          <w:ilvl w:val="0"/>
          <w:numId w:val="26"/>
        </w:numPr>
        <w:ind w:left="450"/>
        <w:rPr>
          <w:rFonts w:asciiTheme="minorHAnsi" w:hAnsiTheme="minorHAnsi" w:cstheme="minorHAnsi"/>
        </w:rPr>
      </w:pPr>
      <w:r w:rsidRPr="003B321F">
        <w:rPr>
          <w:rFonts w:asciiTheme="minorHAnsi" w:hAnsiTheme="minorHAnsi" w:cstheme="minorHAnsi"/>
        </w:rPr>
        <w:t xml:space="preserve">Security situation in the </w:t>
      </w:r>
      <w:r w:rsidR="0046130B">
        <w:rPr>
          <w:rFonts w:asciiTheme="minorHAnsi" w:hAnsiTheme="minorHAnsi" w:cstheme="minorHAnsi"/>
        </w:rPr>
        <w:t>project</w:t>
      </w:r>
      <w:r w:rsidRPr="003B321F">
        <w:rPr>
          <w:rFonts w:asciiTheme="minorHAnsi" w:hAnsiTheme="minorHAnsi" w:cstheme="minorHAnsi"/>
        </w:rPr>
        <w:t xml:space="preserve"> areas remain relatively stable for activity implementation &amp; staff mobility.  </w:t>
      </w:r>
    </w:p>
    <w:p w14:paraId="27975C78" w14:textId="0E0B7094" w:rsidR="00582B05" w:rsidRPr="003B321F" w:rsidRDefault="00582B05" w:rsidP="00582B05">
      <w:pPr>
        <w:pStyle w:val="ListParagraph"/>
        <w:numPr>
          <w:ilvl w:val="0"/>
          <w:numId w:val="26"/>
        </w:numPr>
        <w:ind w:left="450"/>
        <w:rPr>
          <w:rFonts w:asciiTheme="minorHAnsi" w:hAnsiTheme="minorHAnsi" w:cstheme="minorHAnsi"/>
        </w:rPr>
      </w:pPr>
      <w:r w:rsidRPr="003B321F">
        <w:rPr>
          <w:rFonts w:asciiTheme="minorHAnsi" w:hAnsiTheme="minorHAnsi" w:cstheme="minorHAnsi"/>
        </w:rPr>
        <w:t xml:space="preserve">Relevant local government authorities support the </w:t>
      </w:r>
      <w:r w:rsidR="0046130B">
        <w:rPr>
          <w:rFonts w:asciiTheme="minorHAnsi" w:hAnsiTheme="minorHAnsi" w:cstheme="minorHAnsi"/>
        </w:rPr>
        <w:t>project</w:t>
      </w:r>
      <w:r w:rsidRPr="003B321F">
        <w:rPr>
          <w:rFonts w:asciiTheme="minorHAnsi" w:hAnsiTheme="minorHAnsi" w:cstheme="minorHAnsi"/>
        </w:rPr>
        <w:t xml:space="preserve"> for both WASH and GBV aspects.</w:t>
      </w:r>
    </w:p>
    <w:p w14:paraId="69935965" w14:textId="2B09BDC2" w:rsidR="00D0738B" w:rsidRPr="003B321F" w:rsidRDefault="00582B05" w:rsidP="003B321F">
      <w:pPr>
        <w:pStyle w:val="ListParagraph"/>
        <w:numPr>
          <w:ilvl w:val="0"/>
          <w:numId w:val="26"/>
        </w:numPr>
        <w:ind w:left="450"/>
        <w:rPr>
          <w:rFonts w:asciiTheme="minorHAnsi" w:hAnsiTheme="minorHAnsi" w:cstheme="minorHAnsi"/>
        </w:rPr>
      </w:pPr>
      <w:r w:rsidRPr="003B321F">
        <w:rPr>
          <w:rFonts w:asciiTheme="minorHAnsi" w:hAnsiTheme="minorHAnsi" w:cstheme="minorHAnsi"/>
        </w:rPr>
        <w:t xml:space="preserve">Weather conditions do not hamper accessibility and mobility of </w:t>
      </w:r>
      <w:r w:rsidR="0046130B">
        <w:rPr>
          <w:rFonts w:asciiTheme="minorHAnsi" w:hAnsiTheme="minorHAnsi" w:cstheme="minorHAnsi"/>
        </w:rPr>
        <w:t>project</w:t>
      </w:r>
      <w:r w:rsidRPr="003B321F">
        <w:rPr>
          <w:rFonts w:asciiTheme="minorHAnsi" w:hAnsiTheme="minorHAnsi" w:cstheme="minorHAnsi"/>
        </w:rPr>
        <w:t xml:space="preserve"> staff and beneficiaries.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1"/>
        <w:gridCol w:w="5039"/>
      </w:tblGrid>
      <w:tr w:rsidR="00D0738B" w:rsidRPr="003B321F" w14:paraId="39973A1A" w14:textId="77777777" w:rsidTr="003E035F">
        <w:trPr>
          <w:trHeight w:val="323"/>
        </w:trPr>
        <w:tc>
          <w:tcPr>
            <w:tcW w:w="5110" w:type="dxa"/>
            <w:shd w:val="clear" w:color="auto" w:fill="1F4E79" w:themeFill="accent1" w:themeFillShade="80"/>
          </w:tcPr>
          <w:p w14:paraId="0E8996D4" w14:textId="06420739" w:rsidR="00D0738B" w:rsidRPr="003E035F" w:rsidRDefault="00D0738B" w:rsidP="0046130B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lang w:eastAsia="en-GB"/>
              </w:rPr>
            </w:pPr>
            <w:r w:rsidRPr="003E035F">
              <w:rPr>
                <w:rFonts w:cstheme="minorHAnsi"/>
                <w:b/>
                <w:color w:val="FFFFFF" w:themeColor="background1"/>
                <w:lang w:eastAsia="en-GB"/>
              </w:rPr>
              <w:t>Risks:</w:t>
            </w:r>
          </w:p>
        </w:tc>
        <w:tc>
          <w:tcPr>
            <w:tcW w:w="5110" w:type="dxa"/>
            <w:shd w:val="clear" w:color="auto" w:fill="1F4E79" w:themeFill="accent1" w:themeFillShade="80"/>
          </w:tcPr>
          <w:p w14:paraId="0667077F" w14:textId="6C7F77A4" w:rsidR="00D0738B" w:rsidRPr="003E035F" w:rsidRDefault="00D0738B" w:rsidP="0046130B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  <w:lang w:eastAsia="en-GB"/>
              </w:rPr>
            </w:pPr>
            <w:r w:rsidRPr="003E035F">
              <w:rPr>
                <w:rFonts w:cstheme="minorHAnsi"/>
                <w:b/>
                <w:color w:val="FFFFFF" w:themeColor="background1"/>
                <w:lang w:eastAsia="en-GB"/>
              </w:rPr>
              <w:t>Risk-mitigation strategy:</w:t>
            </w:r>
          </w:p>
        </w:tc>
      </w:tr>
      <w:tr w:rsidR="00132726" w:rsidRPr="003B321F" w14:paraId="572EEE2A" w14:textId="77777777" w:rsidTr="0046130B">
        <w:trPr>
          <w:trHeight w:val="350"/>
        </w:trPr>
        <w:tc>
          <w:tcPr>
            <w:tcW w:w="5110" w:type="dxa"/>
          </w:tcPr>
          <w:p w14:paraId="36870BEB" w14:textId="77777777" w:rsidR="00132726" w:rsidRPr="003B321F" w:rsidRDefault="00132726" w:rsidP="0046130B">
            <w:pPr>
              <w:spacing w:after="0" w:line="240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5110" w:type="dxa"/>
          </w:tcPr>
          <w:p w14:paraId="75E116A7" w14:textId="77777777" w:rsidR="00132726" w:rsidRPr="003B321F" w:rsidRDefault="00132726" w:rsidP="0046130B">
            <w:pPr>
              <w:spacing w:after="0" w:line="240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</w:tr>
      <w:tr w:rsidR="00132726" w:rsidRPr="003B321F" w14:paraId="794CF739" w14:textId="77777777" w:rsidTr="0046130B">
        <w:trPr>
          <w:trHeight w:val="350"/>
        </w:trPr>
        <w:tc>
          <w:tcPr>
            <w:tcW w:w="5110" w:type="dxa"/>
          </w:tcPr>
          <w:p w14:paraId="14E08086" w14:textId="77777777" w:rsidR="00132726" w:rsidRPr="003B321F" w:rsidRDefault="00132726" w:rsidP="0046130B">
            <w:pPr>
              <w:spacing w:after="0" w:line="240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5110" w:type="dxa"/>
          </w:tcPr>
          <w:p w14:paraId="03AF5B44" w14:textId="77777777" w:rsidR="00132726" w:rsidRPr="003B321F" w:rsidRDefault="00132726" w:rsidP="0046130B">
            <w:pPr>
              <w:spacing w:after="0" w:line="240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</w:tr>
      <w:tr w:rsidR="00132726" w:rsidRPr="003B321F" w14:paraId="6850E3BA" w14:textId="77777777" w:rsidTr="0046130B">
        <w:trPr>
          <w:trHeight w:val="350"/>
        </w:trPr>
        <w:tc>
          <w:tcPr>
            <w:tcW w:w="5110" w:type="dxa"/>
          </w:tcPr>
          <w:p w14:paraId="2D875237" w14:textId="77777777" w:rsidR="00132726" w:rsidRPr="003B321F" w:rsidRDefault="00132726" w:rsidP="0046130B">
            <w:pPr>
              <w:spacing w:after="0" w:line="240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5110" w:type="dxa"/>
          </w:tcPr>
          <w:p w14:paraId="3B69E3B1" w14:textId="77777777" w:rsidR="00132726" w:rsidRPr="003B321F" w:rsidRDefault="00132726" w:rsidP="0046130B">
            <w:pPr>
              <w:spacing w:after="0" w:line="240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</w:tr>
    </w:tbl>
    <w:p w14:paraId="527F355E" w14:textId="77777777" w:rsidR="00D0738B" w:rsidRPr="003B321F" w:rsidRDefault="00D0738B" w:rsidP="00CD0F2F">
      <w:pPr>
        <w:pStyle w:val="ListParagraph"/>
        <w:spacing w:after="60" w:line="240" w:lineRule="auto"/>
        <w:rPr>
          <w:rFonts w:asciiTheme="minorHAnsi" w:hAnsiTheme="minorHAnsi" w:cstheme="minorHAnsi"/>
          <w:lang w:eastAsia="en-GB"/>
        </w:rPr>
      </w:pPr>
    </w:p>
    <w:p w14:paraId="5D70236F" w14:textId="48BD41D6" w:rsidR="00D0738B" w:rsidRPr="007B49AD" w:rsidRDefault="00BE48F8" w:rsidP="007B49AD">
      <w:pPr>
        <w:pStyle w:val="Heading4"/>
        <w:keepLines w:val="0"/>
        <w:numPr>
          <w:ilvl w:val="0"/>
          <w:numId w:val="2"/>
        </w:numPr>
        <w:pBdr>
          <w:bottom w:val="single" w:sz="4" w:space="1" w:color="auto"/>
        </w:pBdr>
        <w:spacing w:before="0" w:after="60" w:line="240" w:lineRule="auto"/>
        <w:rPr>
          <w:rFonts w:asciiTheme="minorHAnsi" w:hAnsiTheme="minorHAnsi" w:cstheme="minorHAnsi"/>
          <w:lang w:val="en-US"/>
        </w:rPr>
      </w:pPr>
      <w:r w:rsidRPr="003B321F">
        <w:rPr>
          <w:rFonts w:asciiTheme="minorHAnsi" w:hAnsiTheme="minorHAnsi" w:cstheme="minorHAnsi"/>
          <w:lang w:val="en-US"/>
        </w:rPr>
        <w:t>Monitoring</w:t>
      </w:r>
      <w:r w:rsidR="008777B4">
        <w:rPr>
          <w:rFonts w:asciiTheme="minorHAnsi" w:hAnsiTheme="minorHAnsi" w:cstheme="minorHAnsi"/>
          <w:lang w:val="en-US"/>
        </w:rPr>
        <w:t>,</w:t>
      </w:r>
      <w:r w:rsidRPr="003B321F">
        <w:rPr>
          <w:rFonts w:asciiTheme="minorHAnsi" w:hAnsiTheme="minorHAnsi" w:cstheme="minorHAnsi"/>
          <w:lang w:val="en-US"/>
        </w:rPr>
        <w:t xml:space="preserve"> Evaluation</w:t>
      </w:r>
      <w:r w:rsidR="008777B4">
        <w:rPr>
          <w:rFonts w:asciiTheme="minorHAnsi" w:hAnsiTheme="minorHAnsi" w:cstheme="minorHAnsi"/>
          <w:lang w:val="en-US"/>
        </w:rPr>
        <w:t>, Learning and Accountability</w:t>
      </w:r>
    </w:p>
    <w:p w14:paraId="0D4B1AF7" w14:textId="4C7E2F4B" w:rsidR="00D0738B" w:rsidRPr="003B321F" w:rsidRDefault="003A6986" w:rsidP="00D0738B">
      <w:pPr>
        <w:spacing w:before="120" w:after="12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Please describe the </w:t>
      </w:r>
      <w:r w:rsidR="008777B4">
        <w:rPr>
          <w:rFonts w:cstheme="minorHAnsi"/>
          <w:lang w:eastAsia="en-GB"/>
        </w:rPr>
        <w:t>methods, persons involved and frequency of activities to monitor, evaluate, learn from pro</w:t>
      </w:r>
      <w:r w:rsidR="0046130B">
        <w:rPr>
          <w:rFonts w:cstheme="minorHAnsi"/>
          <w:lang w:eastAsia="en-GB"/>
        </w:rPr>
        <w:t>ject</w:t>
      </w:r>
      <w:r w:rsidR="008777B4">
        <w:rPr>
          <w:rFonts w:cstheme="minorHAnsi"/>
          <w:lang w:eastAsia="en-GB"/>
        </w:rPr>
        <w:t xml:space="preserve"> implementation and to ensure upwards accountability</w:t>
      </w:r>
      <w:r>
        <w:rPr>
          <w:rFonts w:cstheme="minorHAnsi"/>
          <w:lang w:eastAsia="en-GB"/>
        </w:rPr>
        <w:t xml:space="preserve">. </w:t>
      </w:r>
      <w:r w:rsidR="00D0738B" w:rsidRPr="003B321F">
        <w:rPr>
          <w:rFonts w:cstheme="minorHAnsi"/>
          <w:lang w:eastAsia="en-GB"/>
        </w:rPr>
        <w:t>The Monitoring and Evaluation (M&amp;E) plan will include the following:</w:t>
      </w:r>
    </w:p>
    <w:p w14:paraId="15562384" w14:textId="258066BF" w:rsidR="00D0738B" w:rsidRDefault="00D0738B" w:rsidP="00D0738B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 w:rsidRPr="003B321F">
        <w:rPr>
          <w:rFonts w:cstheme="minorHAnsi"/>
          <w:lang w:eastAsia="en-GB"/>
        </w:rPr>
        <w:t xml:space="preserve">The </w:t>
      </w:r>
      <w:r w:rsidR="003A6986">
        <w:rPr>
          <w:rFonts w:cstheme="minorHAnsi"/>
          <w:lang w:eastAsia="en-GB"/>
        </w:rPr>
        <w:t>partner</w:t>
      </w:r>
      <w:r w:rsidR="00675A33" w:rsidRPr="003B321F">
        <w:rPr>
          <w:rFonts w:cstheme="minorHAnsi"/>
          <w:lang w:eastAsia="en-GB"/>
        </w:rPr>
        <w:t xml:space="preserve"> team on</w:t>
      </w:r>
      <w:r w:rsidR="003A6986">
        <w:rPr>
          <w:rFonts w:cstheme="minorHAnsi"/>
          <w:lang w:eastAsia="en-GB"/>
        </w:rPr>
        <w:t xml:space="preserve"> </w:t>
      </w:r>
      <w:r w:rsidRPr="003B321F">
        <w:rPr>
          <w:rFonts w:cstheme="minorHAnsi"/>
          <w:lang w:eastAsia="en-GB"/>
        </w:rPr>
        <w:t xml:space="preserve">ground provides weekly update to the </w:t>
      </w:r>
      <w:r w:rsidR="003A6986">
        <w:rPr>
          <w:rFonts w:cstheme="minorHAnsi"/>
          <w:lang w:eastAsia="en-GB"/>
        </w:rPr>
        <w:t>partner</w:t>
      </w:r>
      <w:r w:rsidRPr="003B321F">
        <w:rPr>
          <w:rFonts w:cstheme="minorHAnsi"/>
          <w:lang w:eastAsia="en-GB"/>
        </w:rPr>
        <w:t xml:space="preserve"> manager in Juba, using the </w:t>
      </w:r>
      <w:r w:rsidR="00132726">
        <w:rPr>
          <w:rFonts w:cstheme="minorHAnsi"/>
          <w:lang w:eastAsia="en-GB"/>
        </w:rPr>
        <w:t>implementing partner (</w:t>
      </w:r>
      <w:r w:rsidRPr="003B321F">
        <w:rPr>
          <w:rFonts w:cstheme="minorHAnsi"/>
          <w:lang w:eastAsia="en-GB"/>
        </w:rPr>
        <w:t>IP</w:t>
      </w:r>
      <w:r w:rsidR="00132726">
        <w:rPr>
          <w:rFonts w:cstheme="minorHAnsi"/>
          <w:lang w:eastAsia="en-GB"/>
        </w:rPr>
        <w:t>)</w:t>
      </w:r>
      <w:r w:rsidRPr="003B321F">
        <w:rPr>
          <w:rFonts w:cstheme="minorHAnsi"/>
          <w:lang w:eastAsia="en-GB"/>
        </w:rPr>
        <w:t xml:space="preserve"> weekly update reporting format.</w:t>
      </w:r>
    </w:p>
    <w:p w14:paraId="249D31C2" w14:textId="4035F210" w:rsidR="00D0738B" w:rsidRPr="003B321F" w:rsidRDefault="003A6986" w:rsidP="00D0738B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Partner</w:t>
      </w:r>
      <w:r w:rsidR="00D0738B" w:rsidRPr="003B321F">
        <w:rPr>
          <w:rFonts w:cstheme="minorHAnsi"/>
          <w:lang w:eastAsia="en-GB"/>
        </w:rPr>
        <w:t xml:space="preserve"> Manager provides weekly progress update report to IOM in bullet points and pictures.</w:t>
      </w:r>
    </w:p>
    <w:p w14:paraId="3D8A98CC" w14:textId="709435CA" w:rsidR="00D0738B" w:rsidRPr="003B321F" w:rsidRDefault="003A6986" w:rsidP="00D0738B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Partner </w:t>
      </w:r>
      <w:r w:rsidR="00D0738B" w:rsidRPr="003B321F">
        <w:rPr>
          <w:rFonts w:cstheme="minorHAnsi"/>
          <w:lang w:eastAsia="en-GB"/>
        </w:rPr>
        <w:t>provides interim narrative and financial reports to IOM.</w:t>
      </w:r>
    </w:p>
    <w:p w14:paraId="0914A23B" w14:textId="00E06865" w:rsidR="00D0738B" w:rsidRPr="003B321F" w:rsidRDefault="003A6986" w:rsidP="00D0738B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Partner</w:t>
      </w:r>
      <w:r w:rsidRPr="003B321F">
        <w:rPr>
          <w:rFonts w:cstheme="minorHAnsi"/>
          <w:lang w:eastAsia="en-GB"/>
        </w:rPr>
        <w:t xml:space="preserve"> </w:t>
      </w:r>
      <w:r w:rsidR="00D0738B" w:rsidRPr="003B321F">
        <w:rPr>
          <w:rFonts w:cstheme="minorHAnsi"/>
          <w:lang w:eastAsia="en-GB"/>
        </w:rPr>
        <w:t>provides final narrative and financial reports to IOM.</w:t>
      </w:r>
    </w:p>
    <w:p w14:paraId="77A055EC" w14:textId="3C118E48" w:rsidR="00D0738B" w:rsidRPr="003B321F" w:rsidRDefault="003A6986" w:rsidP="00D0738B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Partner </w:t>
      </w:r>
      <w:r w:rsidR="00D0738B" w:rsidRPr="003B321F">
        <w:rPr>
          <w:rFonts w:cstheme="minorHAnsi"/>
          <w:lang w:eastAsia="en-GB"/>
        </w:rPr>
        <w:t>provides monthly stock distribution reports to IOM.</w:t>
      </w:r>
    </w:p>
    <w:p w14:paraId="5D0D2A2E" w14:textId="088C44B7" w:rsidR="00D0738B" w:rsidRPr="003B321F" w:rsidRDefault="003A6986" w:rsidP="00D0738B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lastRenderedPageBreak/>
        <w:t>Partner</w:t>
      </w:r>
      <w:r w:rsidR="00D0738B" w:rsidRPr="003B321F">
        <w:rPr>
          <w:rFonts w:cstheme="minorHAnsi"/>
          <w:lang w:eastAsia="en-GB"/>
        </w:rPr>
        <w:t xml:space="preserve"> shares the pictures and distribution </w:t>
      </w:r>
      <w:r>
        <w:rPr>
          <w:rFonts w:cstheme="minorHAnsi"/>
          <w:lang w:eastAsia="en-GB"/>
        </w:rPr>
        <w:t xml:space="preserve">lists and </w:t>
      </w:r>
      <w:r w:rsidR="00D0738B" w:rsidRPr="003B321F">
        <w:rPr>
          <w:rFonts w:cstheme="minorHAnsi"/>
          <w:lang w:eastAsia="en-GB"/>
        </w:rPr>
        <w:t>reports with IOM.</w:t>
      </w:r>
    </w:p>
    <w:p w14:paraId="5D1812D5" w14:textId="54B682EC" w:rsidR="00D0738B" w:rsidRDefault="003A6986" w:rsidP="00D0738B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Partner and IOM to </w:t>
      </w:r>
      <w:r w:rsidR="00D0738B" w:rsidRPr="003B321F">
        <w:rPr>
          <w:rFonts w:cstheme="minorHAnsi"/>
          <w:lang w:eastAsia="en-GB"/>
        </w:rPr>
        <w:t>conduct a Post Monitoring Distribution (PDM), and compile a final report which will be shared with IOM.</w:t>
      </w:r>
    </w:p>
    <w:p w14:paraId="558385F5" w14:textId="77777777" w:rsidR="00C82B2A" w:rsidRDefault="00C82B2A" w:rsidP="00C82B2A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GBV sub-cluster 5Ws are reported on a regular basis, ensuing no duplication of beneficiaries. </w:t>
      </w:r>
    </w:p>
    <w:p w14:paraId="31B6F939" w14:textId="2A7C91D5" w:rsidR="00C82B2A" w:rsidRDefault="00132726" w:rsidP="00C82B2A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Participatory and qualitative monitoring and evaluation, including collecting s</w:t>
      </w:r>
      <w:r w:rsidR="00C82B2A">
        <w:rPr>
          <w:rFonts w:cstheme="minorHAnsi"/>
          <w:lang w:eastAsia="en-GB"/>
        </w:rPr>
        <w:t>tories of Most Significant change and success stories</w:t>
      </w:r>
      <w:r>
        <w:rPr>
          <w:rFonts w:cstheme="minorHAnsi"/>
          <w:lang w:eastAsia="en-GB"/>
        </w:rPr>
        <w:t>.</w:t>
      </w:r>
    </w:p>
    <w:p w14:paraId="725CB062" w14:textId="77777777" w:rsidR="00132726" w:rsidRDefault="00C82B2A" w:rsidP="00C82B2A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After action reviews and lessons learned reflections, internally within the project team and with IOM. </w:t>
      </w:r>
    </w:p>
    <w:p w14:paraId="1B1A027D" w14:textId="3C99C664" w:rsidR="00C82B2A" w:rsidRPr="00C82B2A" w:rsidRDefault="00C82B2A" w:rsidP="00C82B2A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Participate in or lead IOM baseline KAPs survey (to be confirmed). </w:t>
      </w:r>
    </w:p>
    <w:p w14:paraId="3AE54F05" w14:textId="77777777" w:rsidR="00132726" w:rsidRDefault="00D0738B" w:rsidP="00D0738B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 w:rsidRPr="003B321F">
        <w:rPr>
          <w:rFonts w:cstheme="minorHAnsi"/>
          <w:lang w:eastAsia="en-GB"/>
        </w:rPr>
        <w:t>IOM will organize field visit with</w:t>
      </w:r>
      <w:r w:rsidR="00502ED2" w:rsidRPr="003B321F">
        <w:rPr>
          <w:rFonts w:cstheme="minorHAnsi"/>
          <w:lang w:eastAsia="en-GB"/>
        </w:rPr>
        <w:t xml:space="preserve"> GBV</w:t>
      </w:r>
      <w:r w:rsidRPr="003B321F">
        <w:rPr>
          <w:rFonts w:cstheme="minorHAnsi"/>
          <w:lang w:eastAsia="en-GB"/>
        </w:rPr>
        <w:t xml:space="preserve"> and M&amp;E team on regular basis to monitor and evaluate the </w:t>
      </w:r>
      <w:r w:rsidR="00D63902" w:rsidRPr="003B321F">
        <w:rPr>
          <w:rFonts w:cstheme="minorHAnsi"/>
          <w:lang w:eastAsia="en-GB"/>
        </w:rPr>
        <w:t>project</w:t>
      </w:r>
      <w:r w:rsidR="00132726">
        <w:rPr>
          <w:rFonts w:cstheme="minorHAnsi"/>
          <w:lang w:eastAsia="en-GB"/>
        </w:rPr>
        <w:t xml:space="preserve"> and provide inputs for further improvement</w:t>
      </w:r>
      <w:r w:rsidR="00D63902" w:rsidRPr="003B321F">
        <w:rPr>
          <w:rFonts w:cstheme="minorHAnsi"/>
          <w:lang w:eastAsia="en-GB"/>
        </w:rPr>
        <w:t>.</w:t>
      </w:r>
      <w:r w:rsidR="003A6986">
        <w:rPr>
          <w:rFonts w:cstheme="minorHAnsi"/>
          <w:lang w:eastAsia="en-GB"/>
        </w:rPr>
        <w:t xml:space="preserve"> </w:t>
      </w:r>
    </w:p>
    <w:p w14:paraId="5AD5C225" w14:textId="0F41988E" w:rsidR="00D0738B" w:rsidRPr="003B321F" w:rsidRDefault="003A6986" w:rsidP="00D0738B">
      <w:pPr>
        <w:widowControl/>
        <w:numPr>
          <w:ilvl w:val="0"/>
          <w:numId w:val="7"/>
        </w:numPr>
        <w:spacing w:after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Third party m</w:t>
      </w:r>
      <w:r w:rsidR="00132726">
        <w:rPr>
          <w:rFonts w:cstheme="minorHAnsi"/>
          <w:lang w:eastAsia="en-GB"/>
        </w:rPr>
        <w:t xml:space="preserve">onitoring may also be conducted by USAID and their monitoring partner. </w:t>
      </w:r>
    </w:p>
    <w:p w14:paraId="626484A0" w14:textId="77777777" w:rsidR="00D63902" w:rsidRPr="003B321F" w:rsidRDefault="00D63902" w:rsidP="00D63902">
      <w:pPr>
        <w:widowControl/>
        <w:spacing w:after="0"/>
        <w:ind w:left="1080"/>
        <w:rPr>
          <w:rFonts w:cstheme="minorHAnsi"/>
          <w:lang w:eastAsia="en-GB"/>
        </w:rPr>
      </w:pPr>
    </w:p>
    <w:p w14:paraId="4603EA64" w14:textId="5AEB7AD7" w:rsidR="000A22A2" w:rsidRPr="003B321F" w:rsidRDefault="000A22A2" w:rsidP="000A22A2">
      <w:pPr>
        <w:tabs>
          <w:tab w:val="left" w:pos="1515"/>
        </w:tabs>
        <w:rPr>
          <w:rFonts w:cstheme="minorHAnsi"/>
          <w:lang w:eastAsia="en-GB"/>
        </w:rPr>
      </w:pPr>
      <w:r w:rsidRPr="003B321F">
        <w:rPr>
          <w:rFonts w:cstheme="minorHAnsi"/>
          <w:lang w:eastAsia="en-GB"/>
        </w:rPr>
        <w:tab/>
      </w:r>
    </w:p>
    <w:p w14:paraId="54076513" w14:textId="0A56FA8A" w:rsidR="008F23C5" w:rsidRPr="003B321F" w:rsidRDefault="000A22A2" w:rsidP="000A22A2">
      <w:pPr>
        <w:tabs>
          <w:tab w:val="left" w:pos="3720"/>
        </w:tabs>
        <w:rPr>
          <w:rFonts w:cstheme="minorHAnsi"/>
          <w:lang w:eastAsia="en-GB"/>
        </w:rPr>
        <w:sectPr w:rsidR="008F23C5" w:rsidRPr="003B321F" w:rsidSect="000B176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3B321F">
        <w:rPr>
          <w:rFonts w:cstheme="minorHAnsi"/>
          <w:lang w:eastAsia="en-GB"/>
        </w:rPr>
        <w:tab/>
      </w:r>
    </w:p>
    <w:p w14:paraId="022AA15D" w14:textId="069498D2" w:rsidR="00BE48F8" w:rsidRPr="003B321F" w:rsidRDefault="00BE48F8" w:rsidP="00CC1791">
      <w:pPr>
        <w:pStyle w:val="Heading4"/>
        <w:keepLines w:val="0"/>
        <w:numPr>
          <w:ilvl w:val="0"/>
          <w:numId w:val="2"/>
        </w:num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lang w:val="en-US"/>
        </w:rPr>
      </w:pPr>
      <w:r w:rsidRPr="003B321F">
        <w:rPr>
          <w:rFonts w:asciiTheme="minorHAnsi" w:hAnsiTheme="minorHAnsi" w:cstheme="minorHAnsi"/>
          <w:lang w:val="en-US"/>
        </w:rPr>
        <w:lastRenderedPageBreak/>
        <w:t xml:space="preserve">Budget – To be evaluated on Cost Effectiveness </w:t>
      </w:r>
      <w:r w:rsidRPr="004739F9">
        <w:rPr>
          <w:rFonts w:asciiTheme="minorHAnsi" w:hAnsiTheme="minorHAnsi" w:cstheme="minorHAnsi"/>
          <w:b w:val="0"/>
          <w:lang w:val="en-US"/>
        </w:rPr>
        <w:t>(including cost per beneficiary)</w:t>
      </w:r>
    </w:p>
    <w:p w14:paraId="3222E32C" w14:textId="77777777" w:rsidR="007A6ED6" w:rsidRPr="003B321F" w:rsidRDefault="007A6ED6" w:rsidP="005B24F4">
      <w:pPr>
        <w:rPr>
          <w:rFonts w:cstheme="minorHAnsi"/>
        </w:rPr>
      </w:pPr>
    </w:p>
    <w:p w14:paraId="73E437C7" w14:textId="27090941" w:rsidR="00CA4785" w:rsidRPr="003B321F" w:rsidRDefault="00C82B2A" w:rsidP="005B24F4">
      <w:pPr>
        <w:rPr>
          <w:rFonts w:cstheme="minorHAnsi"/>
        </w:rPr>
      </w:pPr>
      <w:r>
        <w:rPr>
          <w:rFonts w:cstheme="minorHAnsi"/>
        </w:rPr>
        <w:t xml:space="preserve">Please use </w:t>
      </w:r>
      <w:r w:rsidR="0046130B">
        <w:rPr>
          <w:rFonts w:cstheme="minorHAnsi"/>
        </w:rPr>
        <w:t>the</w:t>
      </w:r>
      <w:r w:rsidRPr="003B321F">
        <w:rPr>
          <w:rFonts w:cstheme="minorHAnsi"/>
        </w:rPr>
        <w:t xml:space="preserve"> </w:t>
      </w:r>
      <w:r w:rsidR="007A6ED6" w:rsidRPr="003B321F">
        <w:rPr>
          <w:rFonts w:cstheme="minorHAnsi"/>
        </w:rPr>
        <w:t xml:space="preserve">Excel </w:t>
      </w:r>
      <w:r>
        <w:rPr>
          <w:rFonts w:cstheme="minorHAnsi"/>
        </w:rPr>
        <w:t>t</w:t>
      </w:r>
      <w:r w:rsidR="007A6ED6" w:rsidRPr="003B321F">
        <w:rPr>
          <w:rFonts w:cstheme="minorHAnsi"/>
        </w:rPr>
        <w:t xml:space="preserve">emplate </w:t>
      </w:r>
      <w:r>
        <w:rPr>
          <w:rFonts w:cstheme="minorHAnsi"/>
        </w:rPr>
        <w:t>a</w:t>
      </w:r>
      <w:r w:rsidR="007A6ED6" w:rsidRPr="003B321F">
        <w:rPr>
          <w:rFonts w:cstheme="minorHAnsi"/>
        </w:rPr>
        <w:t>ttached</w:t>
      </w:r>
      <w:r w:rsidR="003B7D9A" w:rsidRPr="003B321F">
        <w:rPr>
          <w:rFonts w:cstheme="minorHAnsi"/>
        </w:rPr>
        <w:t xml:space="preserve">. </w:t>
      </w:r>
      <w:r w:rsidR="003B7D9A" w:rsidRPr="003B321F">
        <w:rPr>
          <w:rFonts w:cstheme="minorHAnsi"/>
          <w:lang w:eastAsia="en-GB"/>
        </w:rPr>
        <w:t xml:space="preserve">Note that IOM will organize procurement </w:t>
      </w:r>
      <w:r>
        <w:rPr>
          <w:rFonts w:cstheme="minorHAnsi"/>
          <w:lang w:eastAsia="en-GB"/>
        </w:rPr>
        <w:t xml:space="preserve">and delivery </w:t>
      </w:r>
      <w:r w:rsidR="003B7D9A" w:rsidRPr="003B321F">
        <w:rPr>
          <w:rFonts w:cstheme="minorHAnsi"/>
          <w:lang w:eastAsia="en-GB"/>
        </w:rPr>
        <w:t xml:space="preserve">of </w:t>
      </w:r>
      <w:r>
        <w:rPr>
          <w:rFonts w:cstheme="minorHAnsi"/>
          <w:lang w:eastAsia="en-GB"/>
        </w:rPr>
        <w:t>dignity kits</w:t>
      </w:r>
      <w:r w:rsidR="003B7D9A" w:rsidRPr="003B321F">
        <w:rPr>
          <w:rFonts w:cstheme="minorHAnsi"/>
          <w:lang w:eastAsia="en-GB"/>
        </w:rPr>
        <w:t xml:space="preserve"> at Juba level and transport to project location</w:t>
      </w:r>
      <w:r w:rsidR="00DD32A6">
        <w:rPr>
          <w:rFonts w:cstheme="minorHAnsi"/>
          <w:lang w:eastAsia="en-GB"/>
        </w:rPr>
        <w:t xml:space="preserve">, therefore, please </w:t>
      </w:r>
      <w:r>
        <w:rPr>
          <w:rFonts w:cstheme="minorHAnsi"/>
          <w:lang w:eastAsia="en-GB"/>
        </w:rPr>
        <w:t>d</w:t>
      </w:r>
      <w:r w:rsidR="003B7D9A" w:rsidRPr="003B321F">
        <w:rPr>
          <w:rFonts w:cstheme="minorHAnsi"/>
          <w:lang w:eastAsia="en-GB"/>
        </w:rPr>
        <w:t xml:space="preserve">o not include </w:t>
      </w:r>
      <w:r w:rsidR="00DD32A6">
        <w:rPr>
          <w:rFonts w:cstheme="minorHAnsi"/>
          <w:lang w:eastAsia="en-GB"/>
        </w:rPr>
        <w:t xml:space="preserve">these expenses </w:t>
      </w:r>
      <w:r w:rsidR="003B7D9A" w:rsidRPr="003B321F">
        <w:rPr>
          <w:rFonts w:cstheme="minorHAnsi"/>
          <w:lang w:eastAsia="en-GB"/>
        </w:rPr>
        <w:t xml:space="preserve">in the budget. Procurement of material at site level can be forecasted by </w:t>
      </w:r>
      <w:r>
        <w:rPr>
          <w:rFonts w:cstheme="minorHAnsi"/>
          <w:lang w:eastAsia="en-GB"/>
        </w:rPr>
        <w:t>partner</w:t>
      </w:r>
      <w:r w:rsidR="003B7D9A" w:rsidRPr="003B321F">
        <w:rPr>
          <w:rFonts w:cstheme="minorHAnsi"/>
          <w:lang w:eastAsia="en-GB"/>
        </w:rPr>
        <w:t>.</w:t>
      </w:r>
      <w:r w:rsidR="00375846">
        <w:rPr>
          <w:rFonts w:cstheme="minorHAnsi"/>
          <w:lang w:eastAsia="en-GB"/>
        </w:rPr>
        <w:t xml:space="preserve"> </w:t>
      </w:r>
      <w:r w:rsidR="00A720E2">
        <w:rPr>
          <w:rFonts w:cstheme="minorHAnsi"/>
          <w:lang w:eastAsia="en-GB"/>
        </w:rPr>
        <w:t xml:space="preserve">Exceptions for funding include building permanent structures for women and girl’s friendly spaces if proposed, and purchase of large assets such as vehicles and motorbikes (rental only). </w:t>
      </w:r>
      <w:r w:rsidR="00375846">
        <w:rPr>
          <w:rFonts w:cstheme="minorHAnsi"/>
          <w:lang w:eastAsia="en-GB"/>
        </w:rPr>
        <w:t xml:space="preserve">Baseline and endline knowledge, attitudes and practices surveys to be included in </w:t>
      </w:r>
      <w:r w:rsidR="00A720E2">
        <w:rPr>
          <w:rFonts w:cstheme="minorHAnsi"/>
          <w:lang w:eastAsia="en-GB"/>
        </w:rPr>
        <w:t xml:space="preserve">the </w:t>
      </w:r>
      <w:r w:rsidR="00375846">
        <w:rPr>
          <w:rFonts w:cstheme="minorHAnsi"/>
          <w:lang w:eastAsia="en-GB"/>
        </w:rPr>
        <w:t xml:space="preserve">budget. </w:t>
      </w:r>
    </w:p>
    <w:p w14:paraId="679DD18A" w14:textId="4B57D44B" w:rsidR="00BE48F8" w:rsidRPr="003B321F" w:rsidRDefault="004739F9" w:rsidP="00CC1791">
      <w:pPr>
        <w:pStyle w:val="Heading4"/>
        <w:keepLines w:val="0"/>
        <w:numPr>
          <w:ilvl w:val="0"/>
          <w:numId w:val="2"/>
        </w:num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Logical Framework </w:t>
      </w:r>
      <w:r w:rsidRPr="004739F9">
        <w:rPr>
          <w:rFonts w:asciiTheme="minorHAnsi" w:hAnsiTheme="minorHAnsi" w:cstheme="minorHAnsi"/>
          <w:b w:val="0"/>
          <w:lang w:val="en-US"/>
        </w:rPr>
        <w:t xml:space="preserve">(must include </w:t>
      </w:r>
      <w:r>
        <w:rPr>
          <w:rFonts w:asciiTheme="minorHAnsi" w:hAnsiTheme="minorHAnsi" w:cstheme="minorHAnsi"/>
          <w:b w:val="0"/>
          <w:lang w:val="en-US"/>
        </w:rPr>
        <w:t>standard indicators provided</w:t>
      </w:r>
      <w:r w:rsidR="000A22A2" w:rsidRPr="004739F9">
        <w:rPr>
          <w:rFonts w:asciiTheme="minorHAnsi" w:hAnsiTheme="minorHAnsi" w:cstheme="minorHAnsi"/>
          <w:b w:val="0"/>
          <w:lang w:val="en-US"/>
        </w:rPr>
        <w:t xml:space="preserve"> below</w:t>
      </w:r>
      <w:r>
        <w:rPr>
          <w:rFonts w:asciiTheme="minorHAnsi" w:hAnsiTheme="minorHAnsi" w:cstheme="minorHAnsi"/>
          <w:b w:val="0"/>
          <w:lang w:val="en-US"/>
        </w:rPr>
        <w:t>)</w:t>
      </w:r>
    </w:p>
    <w:p w14:paraId="682A670F" w14:textId="4473F7D3" w:rsidR="009D23DD" w:rsidRPr="003B321F" w:rsidRDefault="009D23DD" w:rsidP="00430D1D">
      <w:pPr>
        <w:spacing w:after="0" w:line="240" w:lineRule="auto"/>
        <w:rPr>
          <w:rFonts w:cstheme="minorHAnsi"/>
          <w:lang w:eastAsia="en-GB"/>
        </w:rPr>
      </w:pPr>
    </w:p>
    <w:p w14:paraId="2FF743E7" w14:textId="062F0D76" w:rsidR="008529FB" w:rsidRPr="003B321F" w:rsidRDefault="008529FB" w:rsidP="00430D1D">
      <w:pPr>
        <w:spacing w:after="0" w:line="240" w:lineRule="auto"/>
        <w:rPr>
          <w:rFonts w:cstheme="minorHAnsi"/>
          <w:lang w:eastAsia="en-GB"/>
        </w:rPr>
      </w:pPr>
      <w:r w:rsidRPr="003B321F">
        <w:rPr>
          <w:rFonts w:cstheme="minorHAnsi"/>
          <w:lang w:eastAsia="en-GB"/>
        </w:rPr>
        <w:t>Fill the logical Framework below (remove the lines</w:t>
      </w:r>
      <w:r w:rsidR="006154DE" w:rsidRPr="003B321F">
        <w:rPr>
          <w:rFonts w:cstheme="minorHAnsi"/>
          <w:lang w:eastAsia="en-GB"/>
        </w:rPr>
        <w:t xml:space="preserve"> not relevant for your project) / Fill also the Excel sheet:</w:t>
      </w:r>
    </w:p>
    <w:p w14:paraId="110825A0" w14:textId="50BE1634" w:rsidR="00FE0375" w:rsidRPr="003B321F" w:rsidRDefault="00FE0375" w:rsidP="00430D1D">
      <w:pPr>
        <w:spacing w:after="0" w:line="240" w:lineRule="auto"/>
        <w:rPr>
          <w:rFonts w:cstheme="minorHAnsi"/>
          <w:lang w:eastAsia="en-GB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08"/>
        <w:gridCol w:w="1332"/>
        <w:gridCol w:w="2745"/>
        <w:gridCol w:w="932"/>
        <w:gridCol w:w="945"/>
        <w:gridCol w:w="1627"/>
        <w:gridCol w:w="805"/>
        <w:gridCol w:w="720"/>
        <w:gridCol w:w="2336"/>
      </w:tblGrid>
      <w:tr w:rsidR="00FE0375" w:rsidRPr="003E035F" w14:paraId="6BC7DBE2" w14:textId="77777777" w:rsidTr="003E035F">
        <w:trPr>
          <w:trHeight w:val="233"/>
          <w:tblHeader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10542C8E" w14:textId="71D16576" w:rsidR="00FE0375" w:rsidRPr="003E035F" w:rsidRDefault="004B1F0F" w:rsidP="004B1F0F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Intermediate result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083E00A8" w14:textId="77777777" w:rsidR="00FE0375" w:rsidRPr="003E035F" w:rsidRDefault="00FE0375" w:rsidP="008529F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Outcome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4DABE1EE" w14:textId="77777777" w:rsidR="00FE0375" w:rsidRPr="003E035F" w:rsidRDefault="00FE0375" w:rsidP="008529F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REQUIRED INDICATORS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56074A71" w14:textId="77777777" w:rsidR="00FE0375" w:rsidRPr="003E035F" w:rsidRDefault="00FE0375" w:rsidP="008529F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70BFA8DD" w14:textId="77777777" w:rsidR="00FE0375" w:rsidRPr="003E035F" w:rsidRDefault="00FE0375" w:rsidP="008529F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Baseline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03BE21FF" w14:textId="4E71D76B" w:rsidR="00FE0375" w:rsidRPr="003E035F" w:rsidRDefault="00FE0375" w:rsidP="00DD32A6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Target</w:t>
            </w:r>
            <w:r w:rsidR="00DD32A6" w:rsidRPr="003E035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(disaggregate by s</w:t>
            </w:r>
            <w:r w:rsidR="00C82B2A" w:rsidRPr="003E035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ex &amp; age)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302AE2EB" w14:textId="77777777" w:rsidR="00FE0375" w:rsidRPr="003E035F" w:rsidRDefault="00FE0375" w:rsidP="008529F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Actual Interim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78501C72" w14:textId="77777777" w:rsidR="00FE0375" w:rsidRPr="003E035F" w:rsidRDefault="00FE0375" w:rsidP="008529F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Actual Final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346041C4" w14:textId="676A6B0C" w:rsidR="00FE0375" w:rsidRPr="003E035F" w:rsidRDefault="00DD32A6" w:rsidP="008529F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Means of Verification</w:t>
            </w:r>
          </w:p>
        </w:tc>
      </w:tr>
      <w:tr w:rsidR="00FC4418" w:rsidRPr="003E035F" w14:paraId="374ADC39" w14:textId="77777777" w:rsidTr="003E035F">
        <w:trPr>
          <w:trHeight w:val="40"/>
        </w:trPr>
        <w:tc>
          <w:tcPr>
            <w:tcW w:w="582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EEA"/>
            <w:vAlign w:val="center"/>
            <w:hideMark/>
          </w:tcPr>
          <w:p w14:paraId="7664C200" w14:textId="77777777" w:rsidR="00576A7E" w:rsidRPr="003E035F" w:rsidRDefault="00576A7E" w:rsidP="00576A7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3" w:name="_Hlk500745684"/>
          </w:p>
          <w:p w14:paraId="1EA417ED" w14:textId="77777777" w:rsidR="00576A7E" w:rsidRPr="003E035F" w:rsidRDefault="00576A7E" w:rsidP="00576A7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6A4946" w14:textId="345BB0BC" w:rsidR="00576A7E" w:rsidRPr="003E035F" w:rsidRDefault="00576A7E" w:rsidP="000B5048">
            <w:pPr>
              <w:shd w:val="clear" w:color="auto" w:fill="E5DEE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97FDA1" w14:textId="77777777" w:rsidR="000B5048" w:rsidRPr="003E035F" w:rsidRDefault="000B5048" w:rsidP="000B5048">
            <w:pPr>
              <w:shd w:val="clear" w:color="auto" w:fill="E5DEE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4EBC5B" w14:textId="77777777" w:rsidR="00576A7E" w:rsidRPr="003E035F" w:rsidRDefault="00576A7E" w:rsidP="000B5048">
            <w:pPr>
              <w:shd w:val="clear" w:color="auto" w:fill="E5DEEA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bookmarkEnd w:id="3"/>
          <w:p w14:paraId="081CB947" w14:textId="2BC7CC68" w:rsidR="00FC4418" w:rsidRPr="003E035F" w:rsidRDefault="004B1F0F" w:rsidP="008529F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1F0F">
              <w:rPr>
                <w:rFonts w:cstheme="minorHAnsi"/>
                <w:sz w:val="18"/>
                <w:szCs w:val="18"/>
              </w:rPr>
              <w:t>Increase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4B1F0F">
              <w:rPr>
                <w:rFonts w:cstheme="minorHAnsi"/>
                <w:sz w:val="18"/>
                <w:szCs w:val="18"/>
              </w:rPr>
              <w:t xml:space="preserve"> understanding and capacity to prevent, mitigate and respond to GBV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BF4F" w14:textId="2B968D68" w:rsidR="00FC4418" w:rsidRPr="003E035F" w:rsidRDefault="004B1F0F" w:rsidP="008529F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1F0F">
              <w:rPr>
                <w:rFonts w:cstheme="minorHAnsi"/>
                <w:sz w:val="18"/>
                <w:szCs w:val="18"/>
              </w:rPr>
              <w:t>GBV is prevented in targeted geographical locations and survivors of GBV are provided with immediate life-saving services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77B5FF74" w14:textId="3C6CDF7C" w:rsidR="00FC4418" w:rsidRPr="003E035F" w:rsidRDefault="00576A7E" w:rsidP="00CC179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Percentage of women and girls who report improved safety and security from GBV as they go about daily activities including water collection and sanitation and hygiene activities</w:t>
            </w:r>
            <w:r w:rsidR="0046130B" w:rsidRPr="003E035F">
              <w:rPr>
                <w:rFonts w:cstheme="minorHAnsi"/>
                <w:sz w:val="18"/>
                <w:szCs w:val="18"/>
              </w:rPr>
              <w:t xml:space="preserve"> </w:t>
            </w:r>
            <w:r w:rsidR="0046130B" w:rsidRPr="003E035F">
              <w:rPr>
                <w:rFonts w:cstheme="minorHAnsi"/>
                <w:color w:val="000000" w:themeColor="text1"/>
                <w:sz w:val="18"/>
                <w:szCs w:val="18"/>
              </w:rPr>
              <w:t>(disaggregated by sex, age, location)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160977" w14:textId="00E0951D" w:rsidR="00FC4418" w:rsidRPr="003E035F" w:rsidRDefault="00FC4418" w:rsidP="008529FB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75EBAE" w14:textId="6CCC9E44" w:rsidR="00FC4418" w:rsidRPr="003E035F" w:rsidRDefault="00FC4418" w:rsidP="008529FB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DF36B3" w14:textId="7E6110C0" w:rsidR="00FC4418" w:rsidRPr="003E035F" w:rsidRDefault="00FC4418" w:rsidP="008529FB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422541" w14:textId="1CB59D52" w:rsidR="00FC4418" w:rsidRPr="003E035F" w:rsidRDefault="00FC4418" w:rsidP="00FC4418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9BF93D" w14:textId="5748BE33" w:rsidR="00FC4418" w:rsidRPr="003E035F" w:rsidRDefault="00FC4418" w:rsidP="00FC4418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9AB6" w14:textId="4D9BB0F1" w:rsidR="00FC4418" w:rsidRPr="003E035F" w:rsidRDefault="00DD32A6" w:rsidP="00FC4418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*Baseline &amp; endline KAPs survey</w:t>
            </w:r>
          </w:p>
          <w:p w14:paraId="1EB59611" w14:textId="6515CA7C" w:rsidR="00DD32A6" w:rsidRPr="003E035F" w:rsidRDefault="00DD32A6" w:rsidP="00FC4418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 xml:space="preserve">* Safety audits/mapping </w:t>
            </w:r>
          </w:p>
        </w:tc>
      </w:tr>
      <w:tr w:rsidR="00DD32A6" w:rsidRPr="003E035F" w14:paraId="593FFD24" w14:textId="77777777" w:rsidTr="003E035F">
        <w:trPr>
          <w:trHeight w:val="40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EEA"/>
            <w:vAlign w:val="center"/>
          </w:tcPr>
          <w:p w14:paraId="3B11E604" w14:textId="77777777" w:rsidR="00DD32A6" w:rsidRPr="003E035F" w:rsidRDefault="00DD32A6" w:rsidP="00DD32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209FC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2135DCEB" w14:textId="5AF94221" w:rsidR="00DD32A6" w:rsidRPr="003E035F" w:rsidRDefault="00DD32A6" w:rsidP="00CC17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>Number of GBV survivors who receive sex and age appropriate services, including case management,</w:t>
            </w:r>
            <w:r w:rsidR="00A720E2"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 clinical management of rape,</w:t>
            </w: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 individualized psychosocial support and safe referrals (disaggregated by </w:t>
            </w:r>
            <w:r w:rsidR="0046130B"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sex, age, location, </w:t>
            </w: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>type of service)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68EB14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0F3197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EE20BB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6A8C96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BA02A7E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4BD7" w14:textId="43FBA15F" w:rsidR="00DD32A6" w:rsidRPr="003E035F" w:rsidRDefault="00DD32A6" w:rsidP="00DD32A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 xml:space="preserve">*Weekly GBV service provision </w:t>
            </w:r>
            <w:r w:rsidR="003E035F">
              <w:rPr>
                <w:rFonts w:cstheme="minorHAnsi"/>
                <w:sz w:val="18"/>
                <w:szCs w:val="18"/>
              </w:rPr>
              <w:t>reports</w:t>
            </w:r>
          </w:p>
          <w:p w14:paraId="1A8AC8A4" w14:textId="33AA67BB" w:rsidR="00DD32A6" w:rsidRPr="003E035F" w:rsidRDefault="00DD32A6" w:rsidP="00DD32A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Technical monitoring visits</w:t>
            </w:r>
          </w:p>
        </w:tc>
      </w:tr>
      <w:tr w:rsidR="00DD32A6" w:rsidRPr="003E035F" w14:paraId="103BB6EB" w14:textId="77777777" w:rsidTr="003E035F">
        <w:trPr>
          <w:trHeight w:val="40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EEA"/>
            <w:vAlign w:val="center"/>
          </w:tcPr>
          <w:p w14:paraId="632EA387" w14:textId="77777777" w:rsidR="00DD32A6" w:rsidRPr="003E035F" w:rsidRDefault="00DD32A6" w:rsidP="00DD32A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5447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4B61E04A" w14:textId="2756DB82" w:rsidR="00DD32A6" w:rsidRPr="003E035F" w:rsidRDefault="00DD32A6" w:rsidP="00DD32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OPTIONAL: Number of women and girls of reproductive age that received dignity kits</w:t>
            </w:r>
            <w:r w:rsidR="0046130B" w:rsidRPr="003E035F">
              <w:rPr>
                <w:rFonts w:cstheme="minorHAnsi"/>
                <w:sz w:val="18"/>
                <w:szCs w:val="18"/>
              </w:rPr>
              <w:t xml:space="preserve"> </w:t>
            </w:r>
            <w:r w:rsidR="0046130B" w:rsidRPr="003E035F">
              <w:rPr>
                <w:rFonts w:cstheme="minorHAnsi"/>
                <w:color w:val="000000" w:themeColor="text1"/>
                <w:sz w:val="18"/>
                <w:szCs w:val="18"/>
              </w:rPr>
              <w:t>(disaggregated by sex, age, location)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E64F14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745DBA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3C6989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A972C1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4A4229E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D73C" w14:textId="4C816DC3" w:rsidR="00375846" w:rsidRPr="003E035F" w:rsidRDefault="00375846" w:rsidP="00DD32A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Distribution lists, photographs, reports</w:t>
            </w:r>
          </w:p>
          <w:p w14:paraId="14299A6C" w14:textId="32532068" w:rsidR="00375846" w:rsidRPr="003E035F" w:rsidRDefault="00375846" w:rsidP="00DD32A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*Field monitoring visits</w:t>
            </w:r>
          </w:p>
          <w:p w14:paraId="27D0CC56" w14:textId="55568E0A" w:rsidR="00DD32A6" w:rsidRPr="003E035F" w:rsidRDefault="00375846" w:rsidP="00DD32A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Post-distribution monitoring</w:t>
            </w:r>
          </w:p>
        </w:tc>
      </w:tr>
      <w:tr w:rsidR="00DD32A6" w:rsidRPr="003E035F" w14:paraId="28C1694D" w14:textId="77777777" w:rsidTr="003E035F">
        <w:trPr>
          <w:trHeight w:val="816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4A587037" w14:textId="77777777" w:rsidR="00DD32A6" w:rsidRPr="003E035F" w:rsidRDefault="00DD32A6" w:rsidP="00DD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5CE90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4E624952" w14:textId="1064F8E3" w:rsidR="00DD32A6" w:rsidRPr="003E035F" w:rsidRDefault="00A720E2" w:rsidP="00DD32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OPTIONAL: </w:t>
            </w:r>
            <w:r w:rsidR="00375846"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Percentage improved knowledge, attitudes and practices of </w:t>
            </w: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>other</w:t>
            </w:r>
            <w:r w:rsidR="00375846"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 GBV service providers</w:t>
            </w:r>
            <w:r w:rsidR="00DD32A6"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 to prevent and respond </w:t>
            </w:r>
            <w:r w:rsidR="00375846"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to </w:t>
            </w:r>
            <w:r w:rsidR="00DD32A6" w:rsidRPr="003E035F">
              <w:rPr>
                <w:rFonts w:cstheme="minorHAnsi"/>
                <w:color w:val="000000" w:themeColor="text1"/>
                <w:sz w:val="18"/>
                <w:szCs w:val="18"/>
              </w:rPr>
              <w:t>GBV</w:t>
            </w:r>
            <w:r w:rsidR="0046130B"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 (disaggregated by sex, age, location, type of service provider)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A3B4EB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6064F3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0DA65B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B3B000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573B9A7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2AB6" w14:textId="375EAE99" w:rsidR="00DD32A6" w:rsidRPr="003E035F" w:rsidRDefault="00375846" w:rsidP="00DD32A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Baseline and endline KAPs survey</w:t>
            </w:r>
          </w:p>
        </w:tc>
      </w:tr>
      <w:tr w:rsidR="00375846" w:rsidRPr="003E035F" w14:paraId="64D41DC0" w14:textId="77777777" w:rsidTr="003E035F">
        <w:trPr>
          <w:trHeight w:val="816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1C4A0808" w14:textId="77777777" w:rsidR="00375846" w:rsidRPr="003E035F" w:rsidRDefault="00375846" w:rsidP="00DD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2E562" w14:textId="77777777" w:rsidR="00375846" w:rsidRPr="003E035F" w:rsidRDefault="0037584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58C6CF92" w14:textId="35031B55" w:rsidR="00375846" w:rsidRPr="003E035F" w:rsidDel="00375846" w:rsidRDefault="00375846" w:rsidP="00DD32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Percentage improved knowledge, attitudes and practices of WASH service providers on GBV mainstreaming </w:t>
            </w:r>
            <w:r w:rsidR="0046130B"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 (disaggregated by sex, age, location)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15EE40" w14:textId="77777777" w:rsidR="00375846" w:rsidRPr="003E035F" w:rsidRDefault="0037584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6201C4" w14:textId="77777777" w:rsidR="00375846" w:rsidRPr="003E035F" w:rsidRDefault="0037584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EA80FC" w14:textId="77777777" w:rsidR="00375846" w:rsidRPr="003E035F" w:rsidRDefault="0037584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B633A01" w14:textId="77777777" w:rsidR="00375846" w:rsidRPr="003E035F" w:rsidRDefault="0037584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B53F50" w14:textId="77777777" w:rsidR="00375846" w:rsidRPr="003E035F" w:rsidRDefault="0037584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85E1" w14:textId="77777777" w:rsidR="00375846" w:rsidRPr="003E035F" w:rsidRDefault="00375846" w:rsidP="00DD32A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Baseline and endline KAPs survey and/or pre and post tests</w:t>
            </w:r>
          </w:p>
          <w:p w14:paraId="4C4A98C8" w14:textId="5E92B6EE" w:rsidR="00375846" w:rsidRPr="003E035F" w:rsidRDefault="00375846" w:rsidP="00DD32A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Site monitoring visits</w:t>
            </w:r>
          </w:p>
        </w:tc>
      </w:tr>
      <w:tr w:rsidR="00DD32A6" w:rsidRPr="003E035F" w14:paraId="6C149C4B" w14:textId="77777777" w:rsidTr="003E035F">
        <w:trPr>
          <w:trHeight w:val="816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02AAF153" w14:textId="77777777" w:rsidR="00DD32A6" w:rsidRPr="003E035F" w:rsidRDefault="00DD32A6" w:rsidP="00DD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B798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4AA83623" w14:textId="1A565841" w:rsidR="00DD32A6" w:rsidRPr="003E035F" w:rsidRDefault="00DD32A6" w:rsidP="00DD32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eastAsiaTheme="minorEastAsia" w:cstheme="minorHAnsi"/>
                <w:kern w:val="24"/>
                <w:sz w:val="18"/>
                <w:szCs w:val="18"/>
              </w:rPr>
              <w:t>N</w:t>
            </w:r>
            <w:r w:rsidR="00375846" w:rsidRPr="003E035F">
              <w:rPr>
                <w:rFonts w:eastAsiaTheme="minorEastAsia" w:cstheme="minorHAnsi"/>
                <w:kern w:val="24"/>
                <w:sz w:val="18"/>
                <w:szCs w:val="18"/>
              </w:rPr>
              <w:t>umber</w:t>
            </w:r>
            <w:r w:rsidR="0046130B" w:rsidRPr="003E035F">
              <w:rPr>
                <w:rFonts w:eastAsiaTheme="minorEastAsia" w:cstheme="minorHAnsi"/>
                <w:kern w:val="24"/>
                <w:sz w:val="18"/>
                <w:szCs w:val="18"/>
              </w:rPr>
              <w:t xml:space="preserve"> of functional GBV r</w:t>
            </w:r>
            <w:r w:rsidRPr="003E035F">
              <w:rPr>
                <w:rFonts w:eastAsiaTheme="minorEastAsia" w:cstheme="minorHAnsi"/>
                <w:kern w:val="24"/>
                <w:sz w:val="18"/>
                <w:szCs w:val="18"/>
              </w:rPr>
              <w:t xml:space="preserve">eferral pathways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31A71F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E511E6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EC82E4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66329B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B02C9E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84B1" w14:textId="77777777" w:rsidR="00DD32A6" w:rsidRPr="003E035F" w:rsidRDefault="00375846" w:rsidP="00DD32A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GBV referral pathway SOP signed</w:t>
            </w:r>
          </w:p>
          <w:p w14:paraId="2295AC0F" w14:textId="6C005D23" w:rsidR="00375846" w:rsidRPr="003E035F" w:rsidRDefault="003E035F" w:rsidP="00DD32A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 GBV</w:t>
            </w:r>
            <w:r w:rsidR="00375846" w:rsidRPr="003E035F">
              <w:rPr>
                <w:rFonts w:cstheme="minorHAnsi"/>
                <w:sz w:val="18"/>
                <w:szCs w:val="18"/>
              </w:rPr>
              <w:t xml:space="preserve"> referrals reported to different sector service providers</w:t>
            </w:r>
          </w:p>
          <w:p w14:paraId="37AC67BD" w14:textId="64FC22B6" w:rsidR="00375846" w:rsidRPr="003E035F" w:rsidRDefault="00375846" w:rsidP="00DD32A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Field monitoring visits</w:t>
            </w:r>
          </w:p>
        </w:tc>
      </w:tr>
      <w:tr w:rsidR="00DD32A6" w:rsidRPr="003E035F" w14:paraId="220E8C9E" w14:textId="77777777" w:rsidTr="003E035F">
        <w:trPr>
          <w:trHeight w:val="816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4D1D2F3A" w14:textId="77777777" w:rsidR="00DD32A6" w:rsidRPr="003E035F" w:rsidRDefault="00DD32A6" w:rsidP="00DD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991EB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4B4FDA02" w14:textId="73811692" w:rsidR="00DD32A6" w:rsidRPr="003E035F" w:rsidRDefault="00375846" w:rsidP="004613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kern w:val="24"/>
                <w:sz w:val="18"/>
                <w:szCs w:val="18"/>
              </w:rPr>
            </w:pP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OPTIONAL: </w:t>
            </w:r>
            <w:r w:rsidR="00DD32A6" w:rsidRPr="003E035F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>umber</w:t>
            </w:r>
            <w:r w:rsidR="00DD32A6"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 of women </w:t>
            </w: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and girls </w:t>
            </w:r>
            <w:r w:rsidR="00DD32A6"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trained and engaged in feasible livelihood activities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6B5F75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39F874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FD31AA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671116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075A07" w14:textId="77777777" w:rsidR="00DD32A6" w:rsidRPr="003E035F" w:rsidRDefault="00DD32A6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8732" w14:textId="77777777" w:rsidR="00DD32A6" w:rsidRPr="003E035F" w:rsidRDefault="00A720E2" w:rsidP="00CC179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Reports from livelihood activities</w:t>
            </w:r>
          </w:p>
          <w:p w14:paraId="1B157AA3" w14:textId="6A2867F8" w:rsidR="00A720E2" w:rsidRPr="003E035F" w:rsidRDefault="00A720E2" w:rsidP="00CC179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</w:t>
            </w:r>
            <w:r w:rsidR="0046130B" w:rsidRPr="003E035F">
              <w:rPr>
                <w:rFonts w:cstheme="minorHAnsi"/>
                <w:sz w:val="18"/>
                <w:szCs w:val="18"/>
              </w:rPr>
              <w:t xml:space="preserve"> Field monitoring visits</w:t>
            </w:r>
          </w:p>
        </w:tc>
      </w:tr>
      <w:tr w:rsidR="0046130B" w:rsidRPr="003E035F" w14:paraId="2C14CDFF" w14:textId="77777777" w:rsidTr="003E035F">
        <w:trPr>
          <w:trHeight w:val="816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5EA7439B" w14:textId="77777777" w:rsidR="0046130B" w:rsidRPr="003E035F" w:rsidRDefault="0046130B" w:rsidP="00DD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968C0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1C94669E" w14:textId="72DF67B0" w:rsidR="0046130B" w:rsidRPr="003E035F" w:rsidRDefault="0046130B" w:rsidP="004613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>OPTIONAL: Number of women, girls, boys and men trained in lifeskills activities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317F36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E9FCDA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9626EA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B5FB241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4639E2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665F" w14:textId="70D0241C" w:rsidR="0046130B" w:rsidRPr="003E035F" w:rsidRDefault="0046130B" w:rsidP="004613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Reports from lifeskills activities</w:t>
            </w:r>
          </w:p>
          <w:p w14:paraId="5E277DDF" w14:textId="3ABA3B21" w:rsidR="0046130B" w:rsidRPr="003E035F" w:rsidRDefault="0046130B" w:rsidP="004613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Field monitoring visits</w:t>
            </w:r>
          </w:p>
        </w:tc>
      </w:tr>
      <w:tr w:rsidR="0046130B" w:rsidRPr="003E035F" w14:paraId="7D5C5631" w14:textId="77777777" w:rsidTr="003E035F">
        <w:trPr>
          <w:trHeight w:val="816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4BE7A26B" w14:textId="77777777" w:rsidR="0046130B" w:rsidRPr="003E035F" w:rsidRDefault="0046130B" w:rsidP="00DD3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CBD9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39EF09AA" w14:textId="69505C03" w:rsidR="0046130B" w:rsidRPr="003E035F" w:rsidRDefault="0046130B" w:rsidP="004613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OPTIONAL: Percentage of target women and girls who report improve leadership &amp; confidence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52A3B0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5E641D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3389D2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33B1C99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DC4F538" w14:textId="77777777" w:rsidR="0046130B" w:rsidRPr="003E035F" w:rsidRDefault="0046130B" w:rsidP="00DD32A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19F2" w14:textId="77777777" w:rsidR="003E035F" w:rsidRPr="003E035F" w:rsidRDefault="003E035F" w:rsidP="003E03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KAPs baseline and endline</w:t>
            </w:r>
          </w:p>
          <w:p w14:paraId="03ECBA5A" w14:textId="49C6A6A4" w:rsidR="003E035F" w:rsidRPr="003E035F" w:rsidRDefault="003E035F" w:rsidP="003E03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Reports from women’s leadership &amp; confidence building activities</w:t>
            </w:r>
          </w:p>
          <w:p w14:paraId="380044CE" w14:textId="2BB5BD3A" w:rsidR="0046130B" w:rsidRPr="003E035F" w:rsidRDefault="003E035F" w:rsidP="003E03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Field monitoring visits</w:t>
            </w:r>
          </w:p>
        </w:tc>
      </w:tr>
      <w:tr w:rsidR="00375846" w:rsidRPr="003E035F" w14:paraId="4B6245AE" w14:textId="77777777" w:rsidTr="003E035F">
        <w:trPr>
          <w:trHeight w:val="816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060C3D07" w14:textId="77777777" w:rsidR="00375846" w:rsidRPr="003E035F" w:rsidRDefault="00375846" w:rsidP="003758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DDE3B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4393491C" w14:textId="3F3D742F" w:rsidR="00375846" w:rsidRPr="003E035F" w:rsidRDefault="00375846" w:rsidP="003758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 xml:space="preserve">Number of women, men, girls, and boys who receive information on prevention of GBV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68A28C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309380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9769A6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BCB81B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EFC37E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03F8" w14:textId="77777777" w:rsidR="00375846" w:rsidRPr="003E035F" w:rsidRDefault="00375846" w:rsidP="0037584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Weekly GBV activity report &amp; photos</w:t>
            </w:r>
          </w:p>
          <w:p w14:paraId="3D2B90E4" w14:textId="76681336" w:rsidR="00375846" w:rsidRPr="003E035F" w:rsidRDefault="00375846" w:rsidP="0037584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Field monitoring visits</w:t>
            </w:r>
          </w:p>
        </w:tc>
      </w:tr>
      <w:tr w:rsidR="00375846" w:rsidRPr="003E035F" w14:paraId="5E009EDC" w14:textId="77777777" w:rsidTr="003E035F">
        <w:trPr>
          <w:trHeight w:val="816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5EBDE3AE" w14:textId="77777777" w:rsidR="00375846" w:rsidRPr="003E035F" w:rsidRDefault="00375846" w:rsidP="003758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466D3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3079739C" w14:textId="6D25638C" w:rsidR="00375846" w:rsidRPr="003E035F" w:rsidRDefault="00375846" w:rsidP="00A720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 xml:space="preserve">Percentage of participants that view Gender-Based Violence (GBV) as less acceptable after participating in </w:t>
            </w:r>
            <w:r w:rsidR="00A720E2" w:rsidRPr="003E035F">
              <w:rPr>
                <w:rFonts w:cstheme="minorHAnsi"/>
                <w:color w:val="000000" w:themeColor="text1"/>
                <w:sz w:val="18"/>
                <w:szCs w:val="18"/>
              </w:rPr>
              <w:t>project activities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550209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3BEF5B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5A58F7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13CC93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9C233B" w14:textId="77777777" w:rsidR="00375846" w:rsidRPr="003E035F" w:rsidRDefault="00375846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63C7" w14:textId="0551724A" w:rsidR="00375846" w:rsidRPr="003E035F" w:rsidRDefault="00375846" w:rsidP="0037584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Baseline &amp; endline KAPs survey</w:t>
            </w:r>
          </w:p>
        </w:tc>
      </w:tr>
      <w:tr w:rsidR="00A720E2" w:rsidRPr="003E035F" w14:paraId="73171159" w14:textId="77777777" w:rsidTr="003E035F">
        <w:trPr>
          <w:trHeight w:val="816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2A97E618" w14:textId="77777777" w:rsidR="00A720E2" w:rsidRPr="003E035F" w:rsidRDefault="00A720E2" w:rsidP="003758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2FA57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102AAA5C" w14:textId="68C171CF" w:rsidR="00A720E2" w:rsidRPr="003E035F" w:rsidRDefault="00A720E2" w:rsidP="00A720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>Percentage of women and girls, and marginalized persons participating in project processes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D63B3A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AAF590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9B78D2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76CC28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82F965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4DBD" w14:textId="64604F88" w:rsidR="00A720E2" w:rsidRPr="003E035F" w:rsidRDefault="00A720E2" w:rsidP="0037584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Reports and photos from community mobilization and activities</w:t>
            </w:r>
          </w:p>
          <w:p w14:paraId="67A654FB" w14:textId="56BE8E71" w:rsidR="00A720E2" w:rsidRPr="003E035F" w:rsidRDefault="00A720E2" w:rsidP="00A720E2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Field monitoring visits</w:t>
            </w:r>
          </w:p>
        </w:tc>
      </w:tr>
      <w:tr w:rsidR="00A720E2" w:rsidRPr="003E035F" w14:paraId="769E4499" w14:textId="77777777" w:rsidTr="003E035F">
        <w:trPr>
          <w:trHeight w:val="816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19DCF877" w14:textId="77777777" w:rsidR="00A720E2" w:rsidRPr="003E035F" w:rsidRDefault="00A720E2" w:rsidP="003758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4B9E2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7ACBE5F8" w14:textId="5D1AB5B5" w:rsidR="00A720E2" w:rsidRPr="003E035F" w:rsidRDefault="00A720E2" w:rsidP="00A720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>Percentage of community members and staff who have knowledge on protection from sexual exploitation &amp; abuse (PSEA) including where to report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42573F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1A0B57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31E165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A0C2E6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61B7EA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424A" w14:textId="77777777" w:rsidR="00A720E2" w:rsidRPr="003E035F" w:rsidRDefault="00A720E2" w:rsidP="0037584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Baseline/endline survey</w:t>
            </w:r>
          </w:p>
          <w:p w14:paraId="110D5045" w14:textId="77777777" w:rsidR="00A720E2" w:rsidRPr="003E035F" w:rsidRDefault="00A720E2" w:rsidP="0037584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Reports from community sensitization</w:t>
            </w:r>
          </w:p>
          <w:p w14:paraId="52D954FD" w14:textId="7AFE6175" w:rsidR="00A720E2" w:rsidRPr="003E035F" w:rsidRDefault="00A720E2" w:rsidP="0037584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Field monitoring visits</w:t>
            </w:r>
          </w:p>
        </w:tc>
      </w:tr>
      <w:tr w:rsidR="00A720E2" w:rsidRPr="003E035F" w14:paraId="6211C669" w14:textId="77777777" w:rsidTr="003E035F">
        <w:trPr>
          <w:trHeight w:val="816"/>
        </w:trPr>
        <w:tc>
          <w:tcPr>
            <w:tcW w:w="5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EEA"/>
            <w:vAlign w:val="center"/>
          </w:tcPr>
          <w:p w14:paraId="7F06D895" w14:textId="77777777" w:rsidR="00A720E2" w:rsidRPr="003E035F" w:rsidRDefault="00A720E2" w:rsidP="003758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FD612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EEA"/>
            <w:vAlign w:val="center"/>
          </w:tcPr>
          <w:p w14:paraId="28B459D1" w14:textId="298DD571" w:rsidR="00A720E2" w:rsidRPr="003E035F" w:rsidRDefault="00A720E2" w:rsidP="00A720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035F">
              <w:rPr>
                <w:rFonts w:cstheme="minorHAnsi"/>
                <w:color w:val="000000" w:themeColor="text1"/>
                <w:sz w:val="18"/>
                <w:szCs w:val="18"/>
              </w:rPr>
              <w:t>Percentage of women staff and volunteers employed in team (disaggregated by grade)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E66245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54C584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2A0143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7F5CE7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1BE39B" w14:textId="77777777" w:rsidR="00A720E2" w:rsidRPr="003E035F" w:rsidRDefault="00A720E2" w:rsidP="00375846">
            <w:pPr>
              <w:widowControl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26AA" w14:textId="77777777" w:rsidR="00A720E2" w:rsidRPr="003E035F" w:rsidRDefault="00A720E2" w:rsidP="0037584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Staff lists</w:t>
            </w:r>
          </w:p>
          <w:p w14:paraId="1CF79B69" w14:textId="1E9F86E7" w:rsidR="00A720E2" w:rsidRPr="003E035F" w:rsidRDefault="00A720E2" w:rsidP="00375846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35F">
              <w:rPr>
                <w:rFonts w:cstheme="minorHAnsi"/>
                <w:sz w:val="18"/>
                <w:szCs w:val="18"/>
              </w:rPr>
              <w:t>* Field monitoring visits</w:t>
            </w:r>
          </w:p>
        </w:tc>
      </w:tr>
    </w:tbl>
    <w:p w14:paraId="27669B3D" w14:textId="22EBA112" w:rsidR="00FE0375" w:rsidRPr="003B321F" w:rsidRDefault="00FE0375" w:rsidP="00430D1D">
      <w:pPr>
        <w:spacing w:after="0" w:line="240" w:lineRule="auto"/>
        <w:rPr>
          <w:rFonts w:cstheme="minorHAnsi"/>
          <w:lang w:eastAsia="en-GB"/>
        </w:rPr>
      </w:pPr>
    </w:p>
    <w:p w14:paraId="448EE962" w14:textId="6EF5812D" w:rsidR="00FE0375" w:rsidRPr="003B321F" w:rsidRDefault="00FE0375" w:rsidP="00430D1D">
      <w:pPr>
        <w:spacing w:after="0" w:line="240" w:lineRule="auto"/>
        <w:rPr>
          <w:rFonts w:cstheme="minorHAnsi"/>
          <w:lang w:eastAsia="en-GB"/>
        </w:rPr>
      </w:pPr>
    </w:p>
    <w:p w14:paraId="2B1239F4" w14:textId="4A6C62B2" w:rsidR="00BE48F8" w:rsidRPr="003B321F" w:rsidRDefault="00BE48F8" w:rsidP="00CC1791">
      <w:pPr>
        <w:pStyle w:val="Heading4"/>
        <w:keepLines w:val="0"/>
        <w:numPr>
          <w:ilvl w:val="0"/>
          <w:numId w:val="2"/>
        </w:num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 w:val="0"/>
          <w:lang w:val="en-US" w:eastAsia="en-GB"/>
        </w:rPr>
      </w:pPr>
      <w:r w:rsidRPr="003B321F">
        <w:rPr>
          <w:rFonts w:asciiTheme="minorHAnsi" w:hAnsiTheme="minorHAnsi" w:cstheme="minorHAnsi"/>
          <w:lang w:val="en-US"/>
        </w:rPr>
        <w:t xml:space="preserve">Work Plan – </w:t>
      </w:r>
      <w:r w:rsidRPr="004739F9">
        <w:rPr>
          <w:rFonts w:asciiTheme="minorHAnsi" w:hAnsiTheme="minorHAnsi" w:cstheme="minorHAnsi"/>
          <w:b w:val="0"/>
          <w:lang w:val="en-US"/>
        </w:rPr>
        <w:t>Please follow the order of p</w:t>
      </w:r>
      <w:r w:rsidR="0032568D" w:rsidRPr="004739F9">
        <w:rPr>
          <w:rFonts w:asciiTheme="minorHAnsi" w:hAnsiTheme="minorHAnsi" w:cstheme="minorHAnsi"/>
          <w:b w:val="0"/>
          <w:lang w:val="en-US"/>
        </w:rPr>
        <w:t>roposed Activities in Section IV</w:t>
      </w:r>
      <w:r w:rsidR="000A22A2" w:rsidRPr="004739F9">
        <w:rPr>
          <w:rFonts w:asciiTheme="minorHAnsi" w:hAnsiTheme="minorHAnsi" w:cstheme="minorHAnsi"/>
          <w:b w:val="0"/>
          <w:lang w:val="en-US"/>
        </w:rPr>
        <w:t xml:space="preserve"> depending on activities selected.</w:t>
      </w:r>
    </w:p>
    <w:p w14:paraId="5532D2E3" w14:textId="77777777" w:rsidR="003A1317" w:rsidRPr="003B321F" w:rsidRDefault="003A1317" w:rsidP="004739F9">
      <w:pPr>
        <w:spacing w:after="0" w:line="240" w:lineRule="auto"/>
        <w:rPr>
          <w:rFonts w:cstheme="minorHAnsi"/>
        </w:rPr>
      </w:pPr>
    </w:p>
    <w:tbl>
      <w:tblPr>
        <w:tblW w:w="12950" w:type="dxa"/>
        <w:tblLayout w:type="fixed"/>
        <w:tblLook w:val="04A0" w:firstRow="1" w:lastRow="0" w:firstColumn="1" w:lastColumn="0" w:noHBand="0" w:noVBand="1"/>
      </w:tblPr>
      <w:tblGrid>
        <w:gridCol w:w="449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</w:tblGrid>
      <w:tr w:rsidR="003E035F" w:rsidRPr="003B321F" w14:paraId="7A808CF0" w14:textId="77777777" w:rsidTr="003E035F">
        <w:trPr>
          <w:trHeight w:val="450"/>
        </w:trPr>
        <w:tc>
          <w:tcPr>
            <w:tcW w:w="4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1" w:themeFillShade="80"/>
            <w:vAlign w:val="center"/>
          </w:tcPr>
          <w:p w14:paraId="4D17070F" w14:textId="745E21A4" w:rsidR="003E035F" w:rsidRPr="003E035F" w:rsidRDefault="003E035F" w:rsidP="003E035F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Months 2018 (Initially 5 months)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vAlign w:val="center"/>
          </w:tcPr>
          <w:p w14:paraId="0776A8CA" w14:textId="5A3D931A" w:rsidR="003E035F" w:rsidRPr="003E035F" w:rsidRDefault="003E035F" w:rsidP="003E035F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MAY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vAlign w:val="center"/>
          </w:tcPr>
          <w:p w14:paraId="6E35F4CB" w14:textId="07413679" w:rsidR="003E035F" w:rsidRPr="003E035F" w:rsidRDefault="003E035F" w:rsidP="003E035F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JUNE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vAlign w:val="center"/>
          </w:tcPr>
          <w:p w14:paraId="26FCFE6B" w14:textId="6BD37441" w:rsidR="003E035F" w:rsidRPr="003E035F" w:rsidRDefault="003E035F" w:rsidP="003E035F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JULY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vAlign w:val="center"/>
          </w:tcPr>
          <w:p w14:paraId="52B90D49" w14:textId="2A1FD993" w:rsidR="003E035F" w:rsidRPr="003E035F" w:rsidRDefault="003E035F" w:rsidP="003E035F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AUGUST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vAlign w:val="center"/>
          </w:tcPr>
          <w:p w14:paraId="203F8F20" w14:textId="22EAAEE7" w:rsidR="003E035F" w:rsidRPr="003E035F" w:rsidRDefault="003E035F" w:rsidP="003E035F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SEPTEMBER</w:t>
            </w:r>
          </w:p>
        </w:tc>
      </w:tr>
      <w:tr w:rsidR="005C2BE3" w:rsidRPr="003B321F" w14:paraId="2892D5B1" w14:textId="77777777" w:rsidTr="003E035F">
        <w:trPr>
          <w:trHeight w:val="269"/>
        </w:trPr>
        <w:tc>
          <w:tcPr>
            <w:tcW w:w="4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F4E79" w:themeFill="accent1" w:themeFillShade="80"/>
            <w:vAlign w:val="center"/>
          </w:tcPr>
          <w:p w14:paraId="30ABDC3C" w14:textId="77777777" w:rsidR="005C2BE3" w:rsidRPr="003E035F" w:rsidRDefault="005C2BE3" w:rsidP="00AB52F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vAlign w:val="center"/>
          </w:tcPr>
          <w:p w14:paraId="4C2CA5D0" w14:textId="77777777" w:rsidR="005C2BE3" w:rsidRPr="003E035F" w:rsidRDefault="005C2BE3" w:rsidP="00AB52F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vAlign w:val="center"/>
          </w:tcPr>
          <w:p w14:paraId="67E2095B" w14:textId="77777777" w:rsidR="005C2BE3" w:rsidRPr="003E035F" w:rsidRDefault="005C2BE3" w:rsidP="00AB52F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vAlign w:val="center"/>
          </w:tcPr>
          <w:p w14:paraId="658DDE5E" w14:textId="77777777" w:rsidR="005C2BE3" w:rsidRPr="003E035F" w:rsidRDefault="005C2BE3" w:rsidP="00AB52F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vAlign w:val="center"/>
          </w:tcPr>
          <w:p w14:paraId="0E98B516" w14:textId="77777777" w:rsidR="005C2BE3" w:rsidRPr="003E035F" w:rsidRDefault="005C2BE3" w:rsidP="00AB52F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vAlign w:val="center"/>
          </w:tcPr>
          <w:p w14:paraId="1367C6EA" w14:textId="77777777" w:rsidR="005C2BE3" w:rsidRPr="003E035F" w:rsidRDefault="005C2BE3" w:rsidP="00AB52F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</w:tr>
      <w:tr w:rsidR="003E035F" w:rsidRPr="003B321F" w14:paraId="7E31734F" w14:textId="77777777" w:rsidTr="003E035F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241CAF62" w14:textId="5DA3CD90" w:rsidR="005C2BE3" w:rsidRPr="003E035F" w:rsidRDefault="005C2BE3" w:rsidP="00AB52F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3E035F">
              <w:rPr>
                <w:rFonts w:eastAsia="Times New Roman" w:cstheme="minorHAnsi"/>
                <w:b/>
                <w:bCs/>
                <w:color w:val="FFFFFF" w:themeColor="background1"/>
              </w:rPr>
              <w:t>Weeks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7B811266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21ABBE0E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54A6E13F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211C16A4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4D9D4281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250D4028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08630A96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5A99DDFA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5BE5B695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169A4826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37CEA15D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0D11322C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67BE7D1A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11D2345A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482F155F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5153AB96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11EA7DAD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6BE403B4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256EF087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2C0E2052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34FAA2E3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0E47A1AE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6D124110" w14:textId="77777777" w:rsidR="005C2BE3" w:rsidRPr="003E035F" w:rsidRDefault="005C2BE3" w:rsidP="00453FE3">
            <w:pPr>
              <w:widowControl/>
              <w:spacing w:after="0" w:line="240" w:lineRule="auto"/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</w:pPr>
            <w:r w:rsidRPr="003E035F">
              <w:rPr>
                <w:rFonts w:eastAsia="Times New Roman" w:cstheme="minorHAnsi"/>
                <w:bCs/>
                <w:color w:val="FFFFFF" w:themeColor="background1"/>
                <w:sz w:val="14"/>
                <w:szCs w:val="14"/>
              </w:rPr>
              <w:t>31</w:t>
            </w:r>
          </w:p>
        </w:tc>
      </w:tr>
      <w:tr w:rsidR="005C2BE3" w:rsidRPr="003B321F" w14:paraId="240D65CD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A50278" w14:textId="7843C5B5" w:rsidR="005C2BE3" w:rsidRPr="003B321F" w:rsidRDefault="005C2BE3" w:rsidP="005C2BE3">
            <w:pPr>
              <w:widowControl/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Formal </w:t>
            </w:r>
            <w:r w:rsidR="00830E85">
              <w:rPr>
                <w:rFonts w:eastAsia="Times New Roman" w:cstheme="minorHAnsi"/>
                <w:bCs/>
              </w:rPr>
              <w:t xml:space="preserve">technical </w:t>
            </w:r>
            <w:r>
              <w:rPr>
                <w:rFonts w:eastAsia="Times New Roman" w:cstheme="minorHAnsi"/>
                <w:bCs/>
              </w:rPr>
              <w:t xml:space="preserve">training and </w:t>
            </w:r>
            <w:r w:rsidR="00830E85">
              <w:rPr>
                <w:rFonts w:eastAsia="Times New Roman" w:cstheme="minorHAnsi"/>
                <w:bCs/>
              </w:rPr>
              <w:t xml:space="preserve">coaching support from IOM </w:t>
            </w:r>
            <w:r w:rsidR="00830E85" w:rsidRPr="00CC1791">
              <w:rPr>
                <w:rFonts w:eastAsia="Times New Roman" w:cstheme="minorHAnsi"/>
                <w:bCs/>
                <w:i/>
              </w:rPr>
              <w:t>(note: define areas for support)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5C9460" w14:textId="77777777" w:rsidR="005C2BE3" w:rsidRPr="003B321F" w:rsidRDefault="005C2BE3" w:rsidP="00CD686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B51E77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5E6AD0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346E27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7297AC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318297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6BC449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55C770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D0DFE5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2A08B7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9D3AFB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EC9B9C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A5CC7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662577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B84B15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251A0D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5521E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0C414F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3249A5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3FFF89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3ACDE9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FA44C2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2C718F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  <w:tr w:rsidR="00CC1791" w:rsidRPr="003B321F" w14:paraId="1594530D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218699" w14:textId="4F838C32" w:rsidR="005C2BE3" w:rsidRPr="003B321F" w:rsidRDefault="005C2BE3" w:rsidP="005C2BE3">
            <w:pPr>
              <w:widowControl/>
              <w:spacing w:after="0" w:line="240" w:lineRule="auto"/>
              <w:rPr>
                <w:rFonts w:eastAsia="Times New Roman" w:cstheme="minorHAnsi"/>
                <w:bCs/>
              </w:rPr>
            </w:pPr>
            <w:r w:rsidRPr="003B321F">
              <w:rPr>
                <w:rFonts w:eastAsia="Times New Roman" w:cstheme="minorHAnsi"/>
                <w:bCs/>
              </w:rPr>
              <w:t xml:space="preserve">Risk mitigation activities including safety audits </w:t>
            </w:r>
            <w:r>
              <w:rPr>
                <w:rFonts w:eastAsia="Times New Roman" w:cstheme="minorHAnsi"/>
                <w:bCs/>
              </w:rPr>
              <w:t>and agree actions with WASH partners</w:t>
            </w:r>
            <w:r w:rsidRPr="003B321F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580D0" w14:textId="77777777" w:rsidR="005C2BE3" w:rsidRPr="003B321F" w:rsidRDefault="005C2BE3" w:rsidP="00CD686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B321F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B6E40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15A0F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89C88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9F841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5B05B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B4544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CE9A3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C0B4D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A50D5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BB646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C6C6E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87901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6C1F4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B7605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B94FE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F971D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4E7EA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1AE36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51BEB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CD917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13593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129BD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r w:rsidRPr="003B321F">
              <w:rPr>
                <w:rFonts w:eastAsia="Times New Roman" w:cstheme="minorHAnsi"/>
                <w:b/>
                <w:bCs/>
                <w:color w:val="3F3F3F"/>
              </w:rPr>
              <w:t> </w:t>
            </w:r>
          </w:p>
        </w:tc>
      </w:tr>
      <w:tr w:rsidR="005C2BE3" w:rsidRPr="003B321F" w14:paraId="4A2050E9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38BE2F" w14:textId="22403528" w:rsidR="005C2BE3" w:rsidRPr="00014B24" w:rsidRDefault="00014B24" w:rsidP="00014B24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cstheme="minorHAnsi"/>
                <w:lang w:eastAsia="en-GB"/>
              </w:rPr>
            </w:pPr>
            <w:r w:rsidRPr="00014B24">
              <w:rPr>
                <w:rFonts w:eastAsia="Times New Roman" w:cstheme="minorHAnsi"/>
                <w:bCs/>
              </w:rPr>
              <w:t xml:space="preserve">Technical and practical support for mainstreaming with WASH cluster </w:t>
            </w:r>
            <w:r>
              <w:rPr>
                <w:rFonts w:eastAsia="Times New Roman" w:cstheme="minorHAnsi"/>
                <w:bCs/>
              </w:rPr>
              <w:t>(IOM and NNGO partners)</w:t>
            </w:r>
            <w:bookmarkStart w:id="4" w:name="_GoBack"/>
            <w:bookmarkEnd w:id="4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E4E380" w14:textId="77777777" w:rsidR="005C2BE3" w:rsidRPr="003B321F" w:rsidRDefault="005C2BE3" w:rsidP="00CD686B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F8517D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5ACD6D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879E19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C8F435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4D67E7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97C9CF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25C937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A5139B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EDE5DE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985735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5652E9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B79980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8889B4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17C629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19F1D5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5F312C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EE590C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DB0910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F76D46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27F4B0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E2F11C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488B9A" w14:textId="77777777" w:rsidR="005C2BE3" w:rsidRPr="003B321F" w:rsidRDefault="005C2BE3" w:rsidP="00CD686B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  <w:tr w:rsidR="00CC1791" w:rsidRPr="003B321F" w14:paraId="4B448391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9F163C" w14:textId="1E066512" w:rsidR="005C2BE3" w:rsidRPr="003B321F" w:rsidRDefault="005C2BE3" w:rsidP="00F2646E">
            <w:pPr>
              <w:widowControl/>
              <w:spacing w:after="0" w:line="240" w:lineRule="auto"/>
              <w:rPr>
                <w:rFonts w:cstheme="minorHAnsi"/>
                <w:bCs/>
              </w:rPr>
            </w:pPr>
            <w:r w:rsidRPr="003B321F">
              <w:rPr>
                <w:rFonts w:eastAsiaTheme="minorEastAsia" w:cstheme="minorHAnsi"/>
                <w:kern w:val="24"/>
              </w:rPr>
              <w:t>Provision of GBV Case Management and individual PSS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24DD48" w14:textId="77777777" w:rsidR="005C2BE3" w:rsidRPr="003B321F" w:rsidRDefault="005C2BE3" w:rsidP="00F2646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49E9B3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9749FF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FEB0E6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D54BBC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C73F84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DC8B16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D0A68E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926E13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95BC9A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1106C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8FED13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6FD0B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A674AD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D6D6FB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02359F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FF7D2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62EBB6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F97657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3DD48D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10031D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541381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7CF689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  <w:tr w:rsidR="00CC1791" w:rsidRPr="003B321F" w14:paraId="234A6B2C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EE19D6" w14:textId="04A629D1" w:rsidR="005C2BE3" w:rsidRPr="003B321F" w:rsidRDefault="005C2BE3" w:rsidP="005C2BE3">
            <w:pPr>
              <w:widowControl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Theme="minorEastAsia" w:cstheme="minorHAnsi"/>
                <w:kern w:val="24"/>
              </w:rPr>
              <w:t>Women’s and girl’s friendly spaces or groups with p</w:t>
            </w:r>
            <w:r w:rsidRPr="003B321F">
              <w:rPr>
                <w:rFonts w:eastAsiaTheme="minorEastAsia" w:cstheme="minorHAnsi"/>
                <w:kern w:val="24"/>
              </w:rPr>
              <w:t>rovision of psychosocial support – community based and focused, non-specialized support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6211D0" w14:textId="77777777" w:rsidR="005C2BE3" w:rsidRPr="003B321F" w:rsidRDefault="005C2BE3" w:rsidP="00F2646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52480E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A325B7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EAB526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343A36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AA076E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EBCA52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BD90F1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6E5B2C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AC76DB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58A187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397615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73ECC0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4E7BF5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F649BC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778212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5BF0A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3E9596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FD62C1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C22FA1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A9D8BA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EC3BFA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C5A896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  <w:tr w:rsidR="003E035F" w:rsidRPr="003B321F" w14:paraId="5C92A64D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8E9C51" w14:textId="071312B9" w:rsidR="003E035F" w:rsidRDefault="003E035F" w:rsidP="005C2BE3">
            <w:pPr>
              <w:widowControl/>
              <w:spacing w:after="0" w:line="240" w:lineRule="auto"/>
              <w:rPr>
                <w:rFonts w:eastAsiaTheme="minorEastAsia" w:cstheme="minorHAnsi"/>
                <w:kern w:val="24"/>
              </w:rPr>
            </w:pPr>
            <w:r>
              <w:rPr>
                <w:rFonts w:eastAsiaTheme="minorEastAsia" w:cstheme="minorHAnsi"/>
                <w:kern w:val="24"/>
              </w:rPr>
              <w:lastRenderedPageBreak/>
              <w:t>Women’s leadership &amp; confidence building training and support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0FB209" w14:textId="77777777" w:rsidR="003E035F" w:rsidRPr="003B321F" w:rsidRDefault="003E035F" w:rsidP="00F2646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2DC3C8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BCB88E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0104D0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22889D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DFBBFC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3BA14B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77F8D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D5451A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C8BA1B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987879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28B8E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09902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BAB414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9B0847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9981A9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0FD929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AA62D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95F39A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AF1A1C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8982BA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69229D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61C36A" w14:textId="77777777" w:rsidR="003E035F" w:rsidRPr="003B321F" w:rsidRDefault="003E035F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  <w:tr w:rsidR="001251FE" w:rsidRPr="003B321F" w14:paraId="32101BD5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CFE88D" w14:textId="2FDB6A5D" w:rsidR="001251FE" w:rsidRDefault="001251FE" w:rsidP="005C2BE3">
            <w:pPr>
              <w:widowControl/>
              <w:spacing w:after="0" w:line="240" w:lineRule="auto"/>
              <w:rPr>
                <w:rFonts w:eastAsiaTheme="minorEastAsia" w:cstheme="minorHAnsi"/>
                <w:kern w:val="24"/>
              </w:rPr>
            </w:pPr>
            <w:r>
              <w:rPr>
                <w:rFonts w:eastAsiaTheme="minorEastAsia" w:cstheme="minorHAnsi"/>
                <w:kern w:val="24"/>
              </w:rPr>
              <w:t>Support for or delivery of clinical management of rape services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191042" w14:textId="77777777" w:rsidR="001251FE" w:rsidRPr="003B321F" w:rsidRDefault="001251FE" w:rsidP="00F2646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91A62C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A09292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23A170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F51A95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099840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22AC16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30A3DB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0AD690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D60929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2A423C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3BD78D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C941AB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92A4A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084BBF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4EC9C3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9EFC7A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8CED5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338290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24CF91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3BADE4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8AD0DC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7B30E9" w14:textId="77777777" w:rsidR="001251FE" w:rsidRPr="003B321F" w:rsidRDefault="001251FE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  <w:tr w:rsidR="00CC1791" w:rsidRPr="003B321F" w14:paraId="5C60B9D2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E02CC3" w14:textId="11497AEF" w:rsidR="005C2BE3" w:rsidRPr="003B321F" w:rsidRDefault="005C2BE3" w:rsidP="00F2646E">
            <w:pPr>
              <w:widowControl/>
              <w:spacing w:after="0" w:line="240" w:lineRule="auto"/>
              <w:rPr>
                <w:rFonts w:cstheme="minorHAnsi"/>
                <w:bCs/>
              </w:rPr>
            </w:pPr>
            <w:r w:rsidRPr="003B321F">
              <w:rPr>
                <w:rFonts w:cstheme="minorHAnsi"/>
                <w:bCs/>
              </w:rPr>
              <w:t>Distribution of dignity kits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21FF19" w14:textId="77777777" w:rsidR="005C2BE3" w:rsidRPr="003B321F" w:rsidRDefault="005C2BE3" w:rsidP="00F2646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4415C8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04803D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B84AE6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1E2FE0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F6171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EA0750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276B0B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425CE4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F24CC8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783FBE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322081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15F5D1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41DA2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718700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54D8DA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0FF278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D5C62D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208B5C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8F0830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39E304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C6F887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39386C" w14:textId="77777777" w:rsidR="005C2BE3" w:rsidRPr="003B321F" w:rsidRDefault="005C2BE3" w:rsidP="00F2646E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  <w:tr w:rsidR="00830E85" w:rsidRPr="003B321F" w14:paraId="18375A78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C70FED" w14:textId="7E6C3102" w:rsidR="00830E85" w:rsidRPr="003B321F" w:rsidRDefault="00830E85" w:rsidP="00830E85">
            <w:pPr>
              <w:widowControl/>
              <w:spacing w:after="0" w:line="240" w:lineRule="auto"/>
              <w:rPr>
                <w:rFonts w:cstheme="minorHAnsi"/>
                <w:bCs/>
              </w:rPr>
            </w:pPr>
            <w:r w:rsidRPr="003B321F">
              <w:rPr>
                <w:rFonts w:eastAsiaTheme="minorEastAsia" w:cstheme="minorHAnsi"/>
                <w:kern w:val="24"/>
              </w:rPr>
              <w:t>Livelihoods for GBV survivors and those at risk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BACCF7" w14:textId="77777777" w:rsidR="00830E85" w:rsidRPr="003B321F" w:rsidRDefault="00830E85" w:rsidP="00830E85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55FFB7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3FDD1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12358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9CDC14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B3C926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38A793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81741E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5061D7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C63EC4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628786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F5DA81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CC4185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A84E2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C88A13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65C8AE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D08385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5243A9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FA62A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A7FD69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B15CF8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4855F0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158260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  <w:tr w:rsidR="00830E85" w:rsidRPr="003B321F" w14:paraId="53C3F7AB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A22B7B" w14:textId="526C7CF7" w:rsidR="00830E85" w:rsidRPr="003B321F" w:rsidRDefault="00830E85" w:rsidP="00830E85">
            <w:pPr>
              <w:widowControl/>
              <w:spacing w:after="0" w:line="240" w:lineRule="auto"/>
              <w:rPr>
                <w:rFonts w:eastAsiaTheme="minorEastAsia" w:cstheme="minorHAnsi"/>
                <w:kern w:val="24"/>
              </w:rPr>
            </w:pPr>
            <w:r>
              <w:rPr>
                <w:rFonts w:eastAsia="Times New Roman" w:cstheme="minorHAnsi"/>
                <w:color w:val="000000"/>
              </w:rPr>
              <w:t xml:space="preserve">Community mobilization and capacity building </w:t>
            </w:r>
            <w:r w:rsidRPr="003B321F">
              <w:rPr>
                <w:rFonts w:cstheme="minorHAnsi"/>
                <w:color w:val="000000" w:themeColor="text1"/>
              </w:rPr>
              <w:t>of community structures (community leaders, women's and men groups and others) to prevent</w:t>
            </w:r>
            <w:r>
              <w:rPr>
                <w:rFonts w:cstheme="minorHAnsi"/>
                <w:color w:val="000000" w:themeColor="text1"/>
              </w:rPr>
              <w:t xml:space="preserve"> and</w:t>
            </w:r>
            <w:r w:rsidRPr="003B321F">
              <w:rPr>
                <w:rFonts w:cstheme="minorHAnsi"/>
                <w:color w:val="000000" w:themeColor="text1"/>
              </w:rPr>
              <w:t xml:space="preserve"> respond GBV</w:t>
            </w:r>
            <w:r w:rsidR="001251FE">
              <w:rPr>
                <w:rFonts w:cstheme="minorHAnsi"/>
                <w:color w:val="000000" w:themeColor="text1"/>
              </w:rPr>
              <w:t xml:space="preserve"> as part of referral pathway strengthening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6ADF49" w14:textId="77777777" w:rsidR="00830E85" w:rsidRPr="003B321F" w:rsidRDefault="00830E85" w:rsidP="00830E85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49F95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6AC31C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CBFAEA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65B281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7DF459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13F358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6B37F0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4D91CF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DF7EB4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0C8FD4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F67E4C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5811FC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B6CB6F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A747D3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7B5613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A1EA72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C0590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5E1962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00CE05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EC74C0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47C8E9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F36058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  <w:tr w:rsidR="00CC1791" w:rsidRPr="003B321F" w14:paraId="376FD2A6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27B1D7" w14:textId="6533767C" w:rsidR="00830E85" w:rsidRPr="003B321F" w:rsidRDefault="00830E85" w:rsidP="00830E85">
            <w:pPr>
              <w:widowControl/>
              <w:spacing w:after="0" w:line="240" w:lineRule="auto"/>
              <w:rPr>
                <w:rFonts w:cstheme="minorHAnsi"/>
                <w:bCs/>
              </w:rPr>
            </w:pPr>
            <w:r w:rsidRPr="003B321F">
              <w:rPr>
                <w:rFonts w:eastAsiaTheme="minorEastAsia" w:cstheme="minorHAnsi"/>
                <w:kern w:val="24"/>
              </w:rPr>
              <w:t>Strengthening referral pathways in each location</w:t>
            </w:r>
            <w:r w:rsidR="001251FE">
              <w:rPr>
                <w:rFonts w:eastAsiaTheme="minorEastAsia" w:cstheme="minorHAnsi"/>
                <w:kern w:val="24"/>
              </w:rPr>
              <w:t xml:space="preserve"> through workshops and training with service providers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DE878E" w14:textId="77777777" w:rsidR="00830E85" w:rsidRPr="003B321F" w:rsidRDefault="00830E85" w:rsidP="00830E85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033592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2AD37E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005E1F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277A78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9211B4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BE124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D069F1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7CF9D9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89E11F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8E37F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66A3C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262F4E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F17CF6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539E49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C31A7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39AC62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9707D6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148D97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887C1A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0DA54D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8B22C3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C16321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  <w:tr w:rsidR="00CC1791" w:rsidRPr="003B321F" w14:paraId="2BAAD76D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5782DF" w14:textId="759EED9F" w:rsidR="00830E85" w:rsidRPr="003B321F" w:rsidRDefault="00830E85" w:rsidP="00830E85">
            <w:pPr>
              <w:widowControl/>
              <w:spacing w:after="0" w:line="240" w:lineRule="auto"/>
              <w:rPr>
                <w:rFonts w:cstheme="minorHAnsi"/>
                <w:bCs/>
              </w:rPr>
            </w:pPr>
            <w:r w:rsidRPr="003B321F">
              <w:rPr>
                <w:rFonts w:eastAsiaTheme="minorEastAsia" w:cstheme="minorHAnsi"/>
                <w:kern w:val="24"/>
              </w:rPr>
              <w:t xml:space="preserve">Awareness </w:t>
            </w:r>
            <w:r>
              <w:rPr>
                <w:rFonts w:eastAsiaTheme="minorEastAsia" w:cstheme="minorHAnsi"/>
                <w:kern w:val="24"/>
              </w:rPr>
              <w:t>on</w:t>
            </w:r>
            <w:r w:rsidRPr="003B321F">
              <w:rPr>
                <w:rFonts w:eastAsiaTheme="minorEastAsia" w:cstheme="minorHAnsi"/>
                <w:kern w:val="24"/>
              </w:rPr>
              <w:t xml:space="preserve"> GBV</w:t>
            </w:r>
            <w:r>
              <w:rPr>
                <w:rFonts w:eastAsiaTheme="minorEastAsia" w:cstheme="minorHAnsi"/>
                <w:kern w:val="24"/>
              </w:rPr>
              <w:t xml:space="preserve"> risks, consequences and services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446260" w14:textId="77777777" w:rsidR="00830E85" w:rsidRPr="003B321F" w:rsidRDefault="00830E85" w:rsidP="00830E85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7EF403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63E9BC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0AB88C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56B863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EC8C86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D7D35D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D452B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768F67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681020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3F6DD3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4F517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1B7176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DC8A52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B32616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C8D99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50F150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67A62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D1BFC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B79F71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6CA3F2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DA31FC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BC7DC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  <w:tr w:rsidR="00CC1791" w:rsidRPr="003B321F" w14:paraId="24B70D3C" w14:textId="77777777" w:rsidTr="005C2BE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3B4010" w14:textId="6D0EDD87" w:rsidR="00830E85" w:rsidRPr="003B321F" w:rsidRDefault="00830E85" w:rsidP="00830E85">
            <w:pPr>
              <w:widowControl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eastAsiaTheme="minorEastAsia" w:cstheme="minorHAnsi"/>
                <w:kern w:val="24"/>
              </w:rPr>
              <w:t xml:space="preserve"> GBV prevention dialogues and associated activities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159A41" w14:textId="77777777" w:rsidR="00830E85" w:rsidRPr="003B321F" w:rsidRDefault="00830E85" w:rsidP="00830E85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CB6D6E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31E92F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CB777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B3877E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61D680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6EAB5E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B0F7D5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20998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AF4A4E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25FE3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E5613A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FDF24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B01F4E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ADA1C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24B3E7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165F84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5B0014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1ED0CB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3CAC4D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AAD46D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A413E4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9BF7CD" w14:textId="77777777" w:rsidR="00830E85" w:rsidRPr="003B321F" w:rsidRDefault="00830E85" w:rsidP="00830E85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</w:p>
        </w:tc>
      </w:tr>
    </w:tbl>
    <w:p w14:paraId="20663CCA" w14:textId="4EA17B74" w:rsidR="009D23DD" w:rsidRDefault="009D23DD">
      <w:pPr>
        <w:rPr>
          <w:rFonts w:cstheme="minorHAnsi"/>
        </w:rPr>
      </w:pPr>
    </w:p>
    <w:p w14:paraId="2409E7FC" w14:textId="4CBD85DB" w:rsidR="004739F9" w:rsidRPr="004739F9" w:rsidRDefault="004739F9" w:rsidP="004739F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theme="minorHAnsi"/>
        </w:rPr>
      </w:pPr>
      <w:r w:rsidRPr="004739F9">
        <w:rPr>
          <w:rFonts w:cstheme="minorHAnsi"/>
          <w:b/>
        </w:rPr>
        <w:t xml:space="preserve">Budget </w:t>
      </w:r>
      <w:r>
        <w:rPr>
          <w:rFonts w:cstheme="minorHAnsi"/>
        </w:rPr>
        <w:t xml:space="preserve">– </w:t>
      </w:r>
      <w:r w:rsidRPr="004739F9">
        <w:rPr>
          <w:rFonts w:cstheme="minorHAnsi"/>
          <w:i/>
        </w:rPr>
        <w:t xml:space="preserve">Please use </w:t>
      </w:r>
      <w:r>
        <w:rPr>
          <w:rFonts w:cstheme="minorHAnsi"/>
          <w:i/>
        </w:rPr>
        <w:t xml:space="preserve">Excel </w:t>
      </w:r>
      <w:r w:rsidRPr="004739F9">
        <w:rPr>
          <w:rFonts w:cstheme="minorHAnsi"/>
          <w:i/>
        </w:rPr>
        <w:t xml:space="preserve">template </w:t>
      </w:r>
      <w:r>
        <w:rPr>
          <w:rFonts w:cstheme="minorHAnsi"/>
          <w:i/>
        </w:rPr>
        <w:t>&amp; attach with submission</w:t>
      </w:r>
    </w:p>
    <w:sectPr w:rsidR="004739F9" w:rsidRPr="004739F9" w:rsidSect="00BE48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32A306" w16cid:durableId="1DDBE8ED"/>
  <w16cid:commentId w16cid:paraId="1D1A8D00" w16cid:durableId="1DDBACCB"/>
  <w16cid:commentId w16cid:paraId="34E2F659" w16cid:durableId="1DDBC7F6"/>
  <w16cid:commentId w16cid:paraId="68235C5D" w16cid:durableId="1DDBECD6"/>
  <w16cid:commentId w16cid:paraId="0CE16216" w16cid:durableId="1DDBF1C0"/>
  <w16cid:commentId w16cid:paraId="4805FA81" w16cid:durableId="1DDBCF89"/>
  <w16cid:commentId w16cid:paraId="597C501B" w16cid:durableId="1DDBD4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6373" w14:textId="77777777" w:rsidR="00F37C8F" w:rsidRDefault="00F37C8F">
      <w:pPr>
        <w:spacing w:after="0" w:line="240" w:lineRule="auto"/>
      </w:pPr>
      <w:r>
        <w:separator/>
      </w:r>
    </w:p>
  </w:endnote>
  <w:endnote w:type="continuationSeparator" w:id="0">
    <w:p w14:paraId="46CD6516" w14:textId="77777777" w:rsidR="00F37C8F" w:rsidRDefault="00F37C8F">
      <w:pPr>
        <w:spacing w:after="0" w:line="240" w:lineRule="auto"/>
      </w:pPr>
      <w:r>
        <w:continuationSeparator/>
      </w:r>
    </w:p>
  </w:endnote>
  <w:endnote w:type="continuationNotice" w:id="1">
    <w:p w14:paraId="6CE74955" w14:textId="77777777" w:rsidR="00F37C8F" w:rsidRDefault="00F37C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C4C7" w14:textId="77777777" w:rsidR="00375846" w:rsidRDefault="00375846" w:rsidP="000B1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2D0A1" w14:textId="77777777" w:rsidR="00375846" w:rsidRDefault="00375846" w:rsidP="000B17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7A7F" w14:textId="77777777" w:rsidR="00375846" w:rsidRDefault="00375846">
    <w:pPr>
      <w:pStyle w:val="Footer"/>
      <w:jc w:val="right"/>
    </w:pPr>
  </w:p>
  <w:sdt>
    <w:sdtPr>
      <w:id w:val="1159887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84EBA" w14:textId="56B72076" w:rsidR="00375846" w:rsidRDefault="00132726" w:rsidP="00132726">
        <w:pPr>
          <w:pStyle w:val="Footer"/>
        </w:pPr>
        <w:r>
          <w:t xml:space="preserve">Integrated WASH &amp; GBV program: GBV prevention &amp; response partner proposal </w:t>
        </w:r>
        <w:r>
          <w:tab/>
        </w:r>
        <w:r>
          <w:tab/>
        </w:r>
        <w:r w:rsidR="00375846">
          <w:fldChar w:fldCharType="begin"/>
        </w:r>
        <w:r w:rsidR="00375846">
          <w:instrText xml:space="preserve"> PAGE   \* MERGEFORMAT </w:instrText>
        </w:r>
        <w:r w:rsidR="00375846">
          <w:fldChar w:fldCharType="separate"/>
        </w:r>
        <w:r w:rsidR="00014B24">
          <w:rPr>
            <w:noProof/>
          </w:rPr>
          <w:t>8</w:t>
        </w:r>
        <w:r w:rsidR="00375846">
          <w:rPr>
            <w:noProof/>
          </w:rPr>
          <w:fldChar w:fldCharType="end"/>
        </w:r>
      </w:p>
    </w:sdtContent>
  </w:sdt>
  <w:p w14:paraId="04110154" w14:textId="77777777" w:rsidR="00375846" w:rsidRPr="00C35A81" w:rsidRDefault="00375846" w:rsidP="000B1761">
    <w:pPr>
      <w:pStyle w:val="Footer"/>
      <w:tabs>
        <w:tab w:val="right" w:pos="8931"/>
      </w:tabs>
      <w:ind w:right="360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97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6F90C" w14:textId="17AEF5B3" w:rsidR="00375846" w:rsidRDefault="00132726" w:rsidP="00132726">
        <w:pPr>
          <w:pStyle w:val="Footer"/>
        </w:pPr>
        <w:r>
          <w:t xml:space="preserve">Integrated WASH &amp; GBV program: GBV prevention &amp; response partner proposal </w:t>
        </w:r>
        <w:r>
          <w:tab/>
        </w:r>
        <w:r>
          <w:tab/>
        </w:r>
        <w:r w:rsidR="00375846">
          <w:fldChar w:fldCharType="begin"/>
        </w:r>
        <w:r w:rsidR="00375846">
          <w:instrText xml:space="preserve"> PAGE   \* MERGEFORMAT </w:instrText>
        </w:r>
        <w:r w:rsidR="00375846">
          <w:fldChar w:fldCharType="separate"/>
        </w:r>
        <w:r w:rsidR="00014B24">
          <w:rPr>
            <w:noProof/>
          </w:rPr>
          <w:t>1</w:t>
        </w:r>
        <w:r w:rsidR="00375846">
          <w:rPr>
            <w:noProof/>
          </w:rPr>
          <w:fldChar w:fldCharType="end"/>
        </w:r>
      </w:p>
    </w:sdtContent>
  </w:sdt>
  <w:p w14:paraId="1FBD32E1" w14:textId="77777777" w:rsidR="00375846" w:rsidRDefault="0037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69331" w14:textId="77777777" w:rsidR="00F37C8F" w:rsidRDefault="00F37C8F">
      <w:pPr>
        <w:spacing w:after="0" w:line="240" w:lineRule="auto"/>
      </w:pPr>
      <w:r>
        <w:separator/>
      </w:r>
    </w:p>
  </w:footnote>
  <w:footnote w:type="continuationSeparator" w:id="0">
    <w:p w14:paraId="441120DF" w14:textId="77777777" w:rsidR="00F37C8F" w:rsidRDefault="00F37C8F">
      <w:pPr>
        <w:spacing w:after="0" w:line="240" w:lineRule="auto"/>
      </w:pPr>
      <w:r>
        <w:continuationSeparator/>
      </w:r>
    </w:p>
  </w:footnote>
  <w:footnote w:type="continuationNotice" w:id="1">
    <w:p w14:paraId="4F209120" w14:textId="77777777" w:rsidR="00F37C8F" w:rsidRDefault="00F37C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ED63" w14:textId="66725ADA" w:rsidR="00132726" w:rsidRDefault="00132726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C145B87" wp14:editId="3EED87E0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603250" cy="666750"/>
          <wp:effectExtent l="0" t="0" r="6350" b="0"/>
          <wp:wrapNone/>
          <wp:docPr id="1" name="Picture 1" descr="IOM Logo (IOM - OIM) IOM Blue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IOM Logo (IOM - OIM) IOM Blue (1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67DF" w14:textId="66D86763" w:rsidR="00375846" w:rsidRDefault="0062154B" w:rsidP="000B176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34699B5" wp14:editId="0EB391CF">
          <wp:simplePos x="0" y="0"/>
          <wp:positionH relativeFrom="margin">
            <wp:posOffset>5921733</wp:posOffset>
          </wp:positionH>
          <wp:positionV relativeFrom="paragraph">
            <wp:posOffset>11927</wp:posOffset>
          </wp:positionV>
          <wp:extent cx="476029" cy="516559"/>
          <wp:effectExtent l="0" t="0" r="635" b="0"/>
          <wp:wrapNone/>
          <wp:docPr id="31" name="Picture 31" descr="IOM Logo (IOM - OIM) IOM Blue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IOM Logo (IOM - OIM) IOM Blue (1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36" cy="52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BF6" w:rsidRPr="003B321F">
      <w:rPr>
        <w:rFonts w:cstheme="minorHAnsi"/>
        <w:noProof/>
        <w:lang w:val="en-US"/>
      </w:rPr>
      <w:drawing>
        <wp:inline distT="0" distB="0" distL="0" distR="0" wp14:anchorId="1D1EA422" wp14:editId="22544DB9">
          <wp:extent cx="1669774" cy="524586"/>
          <wp:effectExtent l="0" t="0" r="6985" b="8890"/>
          <wp:docPr id="30" name="Picture 30" descr="Horizontal_CMYK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rizontal_CMYK_600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0" b="9420"/>
                  <a:stretch/>
                </pic:blipFill>
                <pic:spPr bwMode="auto">
                  <a:xfrm>
                    <a:off x="0" y="0"/>
                    <a:ext cx="1696083" cy="5328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BF6">
      <w:rPr>
        <w:rFonts w:asciiTheme="minorHAnsi" w:hAnsiTheme="minorHAnsi" w:cstheme="minorHAnsi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827"/>
    <w:multiLevelType w:val="hybridMultilevel"/>
    <w:tmpl w:val="583C6CE8"/>
    <w:lvl w:ilvl="0" w:tplc="296A2C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97F"/>
    <w:multiLevelType w:val="hybridMultilevel"/>
    <w:tmpl w:val="0724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811"/>
    <w:multiLevelType w:val="hybridMultilevel"/>
    <w:tmpl w:val="0EEE3B50"/>
    <w:lvl w:ilvl="0" w:tplc="B8E6ED8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25037"/>
    <w:multiLevelType w:val="hybridMultilevel"/>
    <w:tmpl w:val="0CF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E6757"/>
    <w:multiLevelType w:val="hybridMultilevel"/>
    <w:tmpl w:val="6F0E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66176"/>
    <w:multiLevelType w:val="hybridMultilevel"/>
    <w:tmpl w:val="3D16C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3C39"/>
    <w:multiLevelType w:val="hybridMultilevel"/>
    <w:tmpl w:val="4C30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B24A7"/>
    <w:multiLevelType w:val="hybridMultilevel"/>
    <w:tmpl w:val="CAC8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85666"/>
    <w:multiLevelType w:val="hybridMultilevel"/>
    <w:tmpl w:val="6928B1A6"/>
    <w:lvl w:ilvl="0" w:tplc="C2F00316">
      <w:start w:val="1"/>
      <w:numFmt w:val="upperRoman"/>
      <w:lvlText w:val="%1."/>
      <w:lvlJc w:val="left"/>
      <w:pPr>
        <w:ind w:left="900" w:hanging="72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3985657"/>
    <w:multiLevelType w:val="hybridMultilevel"/>
    <w:tmpl w:val="3A5A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E11AB"/>
    <w:multiLevelType w:val="hybridMultilevel"/>
    <w:tmpl w:val="6928B1A6"/>
    <w:lvl w:ilvl="0" w:tplc="C2F00316">
      <w:start w:val="1"/>
      <w:numFmt w:val="upperRoman"/>
      <w:lvlText w:val="%1."/>
      <w:lvlJc w:val="left"/>
      <w:pPr>
        <w:ind w:left="900" w:hanging="72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9FB73BA"/>
    <w:multiLevelType w:val="hybridMultilevel"/>
    <w:tmpl w:val="A134B1E6"/>
    <w:lvl w:ilvl="0" w:tplc="A548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200C4E"/>
    <w:multiLevelType w:val="hybridMultilevel"/>
    <w:tmpl w:val="F32C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24A56"/>
    <w:multiLevelType w:val="hybridMultilevel"/>
    <w:tmpl w:val="E02A4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47BD0"/>
    <w:multiLevelType w:val="hybridMultilevel"/>
    <w:tmpl w:val="48426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75F3E"/>
    <w:multiLevelType w:val="hybridMultilevel"/>
    <w:tmpl w:val="A134B1E6"/>
    <w:lvl w:ilvl="0" w:tplc="A548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D14C8"/>
    <w:multiLevelType w:val="hybridMultilevel"/>
    <w:tmpl w:val="31F00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6178B3"/>
    <w:multiLevelType w:val="hybridMultilevel"/>
    <w:tmpl w:val="7D26C0E8"/>
    <w:lvl w:ilvl="0" w:tplc="296A2C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26D7D"/>
    <w:multiLevelType w:val="hybridMultilevel"/>
    <w:tmpl w:val="5BD2F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95F52"/>
    <w:multiLevelType w:val="multilevel"/>
    <w:tmpl w:val="82464C1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rial Narrow" w:hAnsi="Arial Narrow" w:cs="Times New Roman" w:hint="default"/>
        <w:b/>
        <w:sz w:val="26"/>
        <w:szCs w:val="26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ind w:left="95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ind w:left="514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29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543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5724" w:hanging="1584"/>
      </w:pPr>
      <w:rPr>
        <w:rFonts w:cs="Times New Roman" w:hint="default"/>
      </w:rPr>
    </w:lvl>
  </w:abstractNum>
  <w:abstractNum w:abstractNumId="20" w15:restartNumberingAfterBreak="0">
    <w:nsid w:val="4DA906E7"/>
    <w:multiLevelType w:val="hybridMultilevel"/>
    <w:tmpl w:val="D216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547A"/>
    <w:multiLevelType w:val="hybridMultilevel"/>
    <w:tmpl w:val="568825C2"/>
    <w:lvl w:ilvl="0" w:tplc="C8027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B6D37"/>
    <w:multiLevelType w:val="hybridMultilevel"/>
    <w:tmpl w:val="A134B1E6"/>
    <w:lvl w:ilvl="0" w:tplc="A548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527C8D"/>
    <w:multiLevelType w:val="hybridMultilevel"/>
    <w:tmpl w:val="742C478A"/>
    <w:lvl w:ilvl="0" w:tplc="72B28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87B72"/>
    <w:multiLevelType w:val="hybridMultilevel"/>
    <w:tmpl w:val="0EB4514A"/>
    <w:lvl w:ilvl="0" w:tplc="E6CCE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65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2D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0A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8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0C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C0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AA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E1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38096F"/>
    <w:multiLevelType w:val="hybridMultilevel"/>
    <w:tmpl w:val="10E8D12C"/>
    <w:lvl w:ilvl="0" w:tplc="C2F00316">
      <w:start w:val="1"/>
      <w:numFmt w:val="upperRoman"/>
      <w:lvlText w:val="%1."/>
      <w:lvlJc w:val="left"/>
      <w:pPr>
        <w:ind w:left="810" w:hanging="72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9ED16B3"/>
    <w:multiLevelType w:val="hybridMultilevel"/>
    <w:tmpl w:val="F6F2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60C44"/>
    <w:multiLevelType w:val="hybridMultilevel"/>
    <w:tmpl w:val="C86C7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E49"/>
    <w:multiLevelType w:val="hybridMultilevel"/>
    <w:tmpl w:val="8C54E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CE7925"/>
    <w:multiLevelType w:val="hybridMultilevel"/>
    <w:tmpl w:val="E1F62312"/>
    <w:lvl w:ilvl="0" w:tplc="17D23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D4EA1"/>
    <w:multiLevelType w:val="hybridMultilevel"/>
    <w:tmpl w:val="99E8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2341"/>
    <w:multiLevelType w:val="hybridMultilevel"/>
    <w:tmpl w:val="4380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0DDA"/>
    <w:multiLevelType w:val="hybridMultilevel"/>
    <w:tmpl w:val="DBFC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476A5"/>
    <w:multiLevelType w:val="hybridMultilevel"/>
    <w:tmpl w:val="1FA2F0C0"/>
    <w:lvl w:ilvl="0" w:tplc="3E4E8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4B69"/>
    <w:multiLevelType w:val="hybridMultilevel"/>
    <w:tmpl w:val="6FA6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C61EA"/>
    <w:multiLevelType w:val="hybridMultilevel"/>
    <w:tmpl w:val="2CE85012"/>
    <w:lvl w:ilvl="0" w:tplc="364C5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C6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2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E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E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E0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88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A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CC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1D18DF"/>
    <w:multiLevelType w:val="hybridMultilevel"/>
    <w:tmpl w:val="8DAC8E54"/>
    <w:lvl w:ilvl="0" w:tplc="69486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C6C44"/>
    <w:multiLevelType w:val="hybridMultilevel"/>
    <w:tmpl w:val="6A3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062B7"/>
    <w:multiLevelType w:val="hybridMultilevel"/>
    <w:tmpl w:val="BB16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9"/>
  </w:num>
  <w:num w:numId="5">
    <w:abstractNumId w:val="21"/>
  </w:num>
  <w:num w:numId="6">
    <w:abstractNumId w:val="5"/>
  </w:num>
  <w:num w:numId="7">
    <w:abstractNumId w:val="28"/>
  </w:num>
  <w:num w:numId="8">
    <w:abstractNumId w:val="37"/>
  </w:num>
  <w:num w:numId="9">
    <w:abstractNumId w:val="32"/>
  </w:num>
  <w:num w:numId="10">
    <w:abstractNumId w:val="7"/>
  </w:num>
  <w:num w:numId="11">
    <w:abstractNumId w:val="26"/>
  </w:num>
  <w:num w:numId="12">
    <w:abstractNumId w:val="14"/>
  </w:num>
  <w:num w:numId="13">
    <w:abstractNumId w:val="27"/>
  </w:num>
  <w:num w:numId="14">
    <w:abstractNumId w:val="12"/>
  </w:num>
  <w:num w:numId="15">
    <w:abstractNumId w:val="20"/>
  </w:num>
  <w:num w:numId="16">
    <w:abstractNumId w:val="30"/>
  </w:num>
  <w:num w:numId="17">
    <w:abstractNumId w:val="34"/>
  </w:num>
  <w:num w:numId="18">
    <w:abstractNumId w:val="38"/>
  </w:num>
  <w:num w:numId="19">
    <w:abstractNumId w:val="1"/>
  </w:num>
  <w:num w:numId="20">
    <w:abstractNumId w:val="3"/>
  </w:num>
  <w:num w:numId="21">
    <w:abstractNumId w:val="36"/>
  </w:num>
  <w:num w:numId="22">
    <w:abstractNumId w:val="31"/>
  </w:num>
  <w:num w:numId="23">
    <w:abstractNumId w:val="33"/>
  </w:num>
  <w:num w:numId="24">
    <w:abstractNumId w:val="16"/>
  </w:num>
  <w:num w:numId="25">
    <w:abstractNumId w:val="1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15"/>
  </w:num>
  <w:num w:numId="30">
    <w:abstractNumId w:val="35"/>
  </w:num>
  <w:num w:numId="31">
    <w:abstractNumId w:val="24"/>
  </w:num>
  <w:num w:numId="32">
    <w:abstractNumId w:val="6"/>
  </w:num>
  <w:num w:numId="33">
    <w:abstractNumId w:val="4"/>
  </w:num>
  <w:num w:numId="34">
    <w:abstractNumId w:val="2"/>
  </w:num>
  <w:num w:numId="35">
    <w:abstractNumId w:val="1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0"/>
  </w:num>
  <w:num w:numId="39">
    <w:abstractNumId w:val="29"/>
  </w:num>
  <w:num w:numId="40">
    <w:abstractNumId w:val="23"/>
  </w:num>
  <w:num w:numId="41">
    <w:abstractNumId w:val="17"/>
  </w:num>
  <w:num w:numId="4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F8"/>
    <w:rsid w:val="00010711"/>
    <w:rsid w:val="00014B24"/>
    <w:rsid w:val="00016864"/>
    <w:rsid w:val="00017B02"/>
    <w:rsid w:val="00020F86"/>
    <w:rsid w:val="00034013"/>
    <w:rsid w:val="000477C7"/>
    <w:rsid w:val="000502B5"/>
    <w:rsid w:val="00051758"/>
    <w:rsid w:val="000703C3"/>
    <w:rsid w:val="00073ABF"/>
    <w:rsid w:val="00081CE8"/>
    <w:rsid w:val="00086A2C"/>
    <w:rsid w:val="00091778"/>
    <w:rsid w:val="000A22A2"/>
    <w:rsid w:val="000A5CA4"/>
    <w:rsid w:val="000B1761"/>
    <w:rsid w:val="000B404C"/>
    <w:rsid w:val="000B5048"/>
    <w:rsid w:val="000C4774"/>
    <w:rsid w:val="000C6CAB"/>
    <w:rsid w:val="000D0F3A"/>
    <w:rsid w:val="000D318F"/>
    <w:rsid w:val="000D39A3"/>
    <w:rsid w:val="000E1C30"/>
    <w:rsid w:val="000E2F30"/>
    <w:rsid w:val="000E308B"/>
    <w:rsid w:val="000E7113"/>
    <w:rsid w:val="000F4AF7"/>
    <w:rsid w:val="0010650B"/>
    <w:rsid w:val="00106519"/>
    <w:rsid w:val="001129A1"/>
    <w:rsid w:val="001140DB"/>
    <w:rsid w:val="001251FE"/>
    <w:rsid w:val="00132726"/>
    <w:rsid w:val="001351A2"/>
    <w:rsid w:val="0013799D"/>
    <w:rsid w:val="00165BC6"/>
    <w:rsid w:val="00170C47"/>
    <w:rsid w:val="0019095A"/>
    <w:rsid w:val="001A0268"/>
    <w:rsid w:val="001A6EA8"/>
    <w:rsid w:val="001B0E78"/>
    <w:rsid w:val="001B0F8A"/>
    <w:rsid w:val="001B1895"/>
    <w:rsid w:val="001B1D53"/>
    <w:rsid w:val="001B2888"/>
    <w:rsid w:val="001B34D2"/>
    <w:rsid w:val="001B6264"/>
    <w:rsid w:val="001B7B17"/>
    <w:rsid w:val="001D1229"/>
    <w:rsid w:val="001D2663"/>
    <w:rsid w:val="001D340B"/>
    <w:rsid w:val="001F07BC"/>
    <w:rsid w:val="001F1FA8"/>
    <w:rsid w:val="001F6985"/>
    <w:rsid w:val="002043AB"/>
    <w:rsid w:val="00214075"/>
    <w:rsid w:val="002276A2"/>
    <w:rsid w:val="0023264D"/>
    <w:rsid w:val="0023457D"/>
    <w:rsid w:val="0024180C"/>
    <w:rsid w:val="00245208"/>
    <w:rsid w:val="00250813"/>
    <w:rsid w:val="0025299C"/>
    <w:rsid w:val="00260584"/>
    <w:rsid w:val="002648FD"/>
    <w:rsid w:val="00271B84"/>
    <w:rsid w:val="00272B75"/>
    <w:rsid w:val="0029346F"/>
    <w:rsid w:val="002A06E8"/>
    <w:rsid w:val="002A0FA7"/>
    <w:rsid w:val="002A2A05"/>
    <w:rsid w:val="002A3E72"/>
    <w:rsid w:val="002A6164"/>
    <w:rsid w:val="002B1835"/>
    <w:rsid w:val="002B40FA"/>
    <w:rsid w:val="002C1A31"/>
    <w:rsid w:val="002D41B4"/>
    <w:rsid w:val="002D7576"/>
    <w:rsid w:val="002E26BC"/>
    <w:rsid w:val="002F0ED0"/>
    <w:rsid w:val="002F74EC"/>
    <w:rsid w:val="002F7DD1"/>
    <w:rsid w:val="00306E9B"/>
    <w:rsid w:val="003121F8"/>
    <w:rsid w:val="00317CD2"/>
    <w:rsid w:val="00323EBC"/>
    <w:rsid w:val="0032568D"/>
    <w:rsid w:val="00330BD0"/>
    <w:rsid w:val="00334A88"/>
    <w:rsid w:val="00336D3E"/>
    <w:rsid w:val="00340F9C"/>
    <w:rsid w:val="003430D9"/>
    <w:rsid w:val="00346440"/>
    <w:rsid w:val="00346844"/>
    <w:rsid w:val="003542CD"/>
    <w:rsid w:val="00360937"/>
    <w:rsid w:val="00361D2C"/>
    <w:rsid w:val="00361FB5"/>
    <w:rsid w:val="003622B9"/>
    <w:rsid w:val="003649B3"/>
    <w:rsid w:val="003675E0"/>
    <w:rsid w:val="00375846"/>
    <w:rsid w:val="003802A5"/>
    <w:rsid w:val="003828D1"/>
    <w:rsid w:val="00391F99"/>
    <w:rsid w:val="00397ECA"/>
    <w:rsid w:val="003A1317"/>
    <w:rsid w:val="003A6986"/>
    <w:rsid w:val="003B321F"/>
    <w:rsid w:val="003B7D9A"/>
    <w:rsid w:val="003C0848"/>
    <w:rsid w:val="003C496C"/>
    <w:rsid w:val="003D1758"/>
    <w:rsid w:val="003D2B66"/>
    <w:rsid w:val="003D63CA"/>
    <w:rsid w:val="003E020C"/>
    <w:rsid w:val="003E035F"/>
    <w:rsid w:val="003F06F4"/>
    <w:rsid w:val="003F5D7D"/>
    <w:rsid w:val="003F6B19"/>
    <w:rsid w:val="003F7E4E"/>
    <w:rsid w:val="004034BF"/>
    <w:rsid w:val="0042318D"/>
    <w:rsid w:val="004237F3"/>
    <w:rsid w:val="004254D4"/>
    <w:rsid w:val="00430D1D"/>
    <w:rsid w:val="00432F66"/>
    <w:rsid w:val="00441450"/>
    <w:rsid w:val="00444877"/>
    <w:rsid w:val="00453FE3"/>
    <w:rsid w:val="00457168"/>
    <w:rsid w:val="0046130B"/>
    <w:rsid w:val="00461D37"/>
    <w:rsid w:val="004638BC"/>
    <w:rsid w:val="004714B7"/>
    <w:rsid w:val="00471EA5"/>
    <w:rsid w:val="004739F9"/>
    <w:rsid w:val="00474026"/>
    <w:rsid w:val="00485231"/>
    <w:rsid w:val="004958FD"/>
    <w:rsid w:val="004A7984"/>
    <w:rsid w:val="004B1BE9"/>
    <w:rsid w:val="004B1F0F"/>
    <w:rsid w:val="004C196C"/>
    <w:rsid w:val="004D16B5"/>
    <w:rsid w:val="004E466A"/>
    <w:rsid w:val="004E4A5E"/>
    <w:rsid w:val="004E5ACC"/>
    <w:rsid w:val="004F7009"/>
    <w:rsid w:val="00502ED2"/>
    <w:rsid w:val="005056C2"/>
    <w:rsid w:val="0050758C"/>
    <w:rsid w:val="00520E20"/>
    <w:rsid w:val="00524872"/>
    <w:rsid w:val="00554A49"/>
    <w:rsid w:val="00556A43"/>
    <w:rsid w:val="00561285"/>
    <w:rsid w:val="00561301"/>
    <w:rsid w:val="00564FC8"/>
    <w:rsid w:val="00566BD4"/>
    <w:rsid w:val="00567A87"/>
    <w:rsid w:val="00570BCA"/>
    <w:rsid w:val="00575C9F"/>
    <w:rsid w:val="00576A7E"/>
    <w:rsid w:val="00581F57"/>
    <w:rsid w:val="00582B05"/>
    <w:rsid w:val="00583AE2"/>
    <w:rsid w:val="00587A6A"/>
    <w:rsid w:val="00587DBC"/>
    <w:rsid w:val="005A2289"/>
    <w:rsid w:val="005A27CF"/>
    <w:rsid w:val="005A445B"/>
    <w:rsid w:val="005A5A4D"/>
    <w:rsid w:val="005A722A"/>
    <w:rsid w:val="005B24F4"/>
    <w:rsid w:val="005B4CA6"/>
    <w:rsid w:val="005C2877"/>
    <w:rsid w:val="005C2BE3"/>
    <w:rsid w:val="005C56C6"/>
    <w:rsid w:val="005D096D"/>
    <w:rsid w:val="005D1FE2"/>
    <w:rsid w:val="005E2684"/>
    <w:rsid w:val="005F0528"/>
    <w:rsid w:val="0060028A"/>
    <w:rsid w:val="00602255"/>
    <w:rsid w:val="00603994"/>
    <w:rsid w:val="00604706"/>
    <w:rsid w:val="00613F77"/>
    <w:rsid w:val="006147FA"/>
    <w:rsid w:val="006154DE"/>
    <w:rsid w:val="00617E70"/>
    <w:rsid w:val="0062154B"/>
    <w:rsid w:val="0062266E"/>
    <w:rsid w:val="00625237"/>
    <w:rsid w:val="0063592A"/>
    <w:rsid w:val="00640A64"/>
    <w:rsid w:val="0064502C"/>
    <w:rsid w:val="00647061"/>
    <w:rsid w:val="006543D6"/>
    <w:rsid w:val="0065652C"/>
    <w:rsid w:val="006616E0"/>
    <w:rsid w:val="006624DE"/>
    <w:rsid w:val="006629E0"/>
    <w:rsid w:val="00664E15"/>
    <w:rsid w:val="00670DF9"/>
    <w:rsid w:val="00675A33"/>
    <w:rsid w:val="00677E8F"/>
    <w:rsid w:val="00677F6C"/>
    <w:rsid w:val="006B02BC"/>
    <w:rsid w:val="006B0E1B"/>
    <w:rsid w:val="006C56AD"/>
    <w:rsid w:val="006C635F"/>
    <w:rsid w:val="006D1556"/>
    <w:rsid w:val="006F02EE"/>
    <w:rsid w:val="006F1ED6"/>
    <w:rsid w:val="006F2862"/>
    <w:rsid w:val="006F5BC2"/>
    <w:rsid w:val="006F7561"/>
    <w:rsid w:val="00704935"/>
    <w:rsid w:val="007100AB"/>
    <w:rsid w:val="007212CB"/>
    <w:rsid w:val="00725244"/>
    <w:rsid w:val="00737AFF"/>
    <w:rsid w:val="007403F0"/>
    <w:rsid w:val="00761F25"/>
    <w:rsid w:val="0076592E"/>
    <w:rsid w:val="00766FA5"/>
    <w:rsid w:val="007758B3"/>
    <w:rsid w:val="00781CA8"/>
    <w:rsid w:val="007A3F8C"/>
    <w:rsid w:val="007A6ED6"/>
    <w:rsid w:val="007A6F60"/>
    <w:rsid w:val="007B49AD"/>
    <w:rsid w:val="007B578F"/>
    <w:rsid w:val="007C266D"/>
    <w:rsid w:val="007C4605"/>
    <w:rsid w:val="007D3910"/>
    <w:rsid w:val="007D4A03"/>
    <w:rsid w:val="007F2335"/>
    <w:rsid w:val="007F45BD"/>
    <w:rsid w:val="007F4E11"/>
    <w:rsid w:val="00802442"/>
    <w:rsid w:val="00823641"/>
    <w:rsid w:val="00830E85"/>
    <w:rsid w:val="00832111"/>
    <w:rsid w:val="0083298A"/>
    <w:rsid w:val="0083334E"/>
    <w:rsid w:val="008356DD"/>
    <w:rsid w:val="008371A5"/>
    <w:rsid w:val="00844489"/>
    <w:rsid w:val="008447A4"/>
    <w:rsid w:val="008529FB"/>
    <w:rsid w:val="00864728"/>
    <w:rsid w:val="00865A5A"/>
    <w:rsid w:val="008703D0"/>
    <w:rsid w:val="00874B86"/>
    <w:rsid w:val="00875709"/>
    <w:rsid w:val="008777B4"/>
    <w:rsid w:val="00894A56"/>
    <w:rsid w:val="008A0DDC"/>
    <w:rsid w:val="008A3C66"/>
    <w:rsid w:val="008A5A21"/>
    <w:rsid w:val="008B29A4"/>
    <w:rsid w:val="008B5F8F"/>
    <w:rsid w:val="008C6011"/>
    <w:rsid w:val="008E4D5C"/>
    <w:rsid w:val="008E7C47"/>
    <w:rsid w:val="008E7CDF"/>
    <w:rsid w:val="008F23C5"/>
    <w:rsid w:val="009110B2"/>
    <w:rsid w:val="0091383E"/>
    <w:rsid w:val="00931E82"/>
    <w:rsid w:val="00933728"/>
    <w:rsid w:val="00933797"/>
    <w:rsid w:val="0094418C"/>
    <w:rsid w:val="009519F2"/>
    <w:rsid w:val="00952814"/>
    <w:rsid w:val="00965A9F"/>
    <w:rsid w:val="009674B4"/>
    <w:rsid w:val="00970E7F"/>
    <w:rsid w:val="0098348E"/>
    <w:rsid w:val="0098424F"/>
    <w:rsid w:val="009872D7"/>
    <w:rsid w:val="00993BF6"/>
    <w:rsid w:val="009A2903"/>
    <w:rsid w:val="009B23FA"/>
    <w:rsid w:val="009B5633"/>
    <w:rsid w:val="009C3659"/>
    <w:rsid w:val="009C46F9"/>
    <w:rsid w:val="009D23DD"/>
    <w:rsid w:val="009E0CEE"/>
    <w:rsid w:val="009E311A"/>
    <w:rsid w:val="009E523F"/>
    <w:rsid w:val="009F2E28"/>
    <w:rsid w:val="00A039F1"/>
    <w:rsid w:val="00A11BCB"/>
    <w:rsid w:val="00A1335B"/>
    <w:rsid w:val="00A2650C"/>
    <w:rsid w:val="00A369D2"/>
    <w:rsid w:val="00A40B1B"/>
    <w:rsid w:val="00A53EF5"/>
    <w:rsid w:val="00A606CF"/>
    <w:rsid w:val="00A63701"/>
    <w:rsid w:val="00A6398A"/>
    <w:rsid w:val="00A720E2"/>
    <w:rsid w:val="00A931FF"/>
    <w:rsid w:val="00AA23F1"/>
    <w:rsid w:val="00AA2D31"/>
    <w:rsid w:val="00AA43C2"/>
    <w:rsid w:val="00AB1AB2"/>
    <w:rsid w:val="00AB3AF9"/>
    <w:rsid w:val="00AB52FB"/>
    <w:rsid w:val="00AB678D"/>
    <w:rsid w:val="00AB6D38"/>
    <w:rsid w:val="00AC4710"/>
    <w:rsid w:val="00AD064F"/>
    <w:rsid w:val="00AD134E"/>
    <w:rsid w:val="00AD1522"/>
    <w:rsid w:val="00AF4915"/>
    <w:rsid w:val="00B05F13"/>
    <w:rsid w:val="00B06A67"/>
    <w:rsid w:val="00B14A5B"/>
    <w:rsid w:val="00B179A7"/>
    <w:rsid w:val="00B20AFC"/>
    <w:rsid w:val="00B27047"/>
    <w:rsid w:val="00B31D59"/>
    <w:rsid w:val="00B32702"/>
    <w:rsid w:val="00B3700D"/>
    <w:rsid w:val="00B42A78"/>
    <w:rsid w:val="00B4722E"/>
    <w:rsid w:val="00B53C83"/>
    <w:rsid w:val="00B648C8"/>
    <w:rsid w:val="00B65828"/>
    <w:rsid w:val="00B7693C"/>
    <w:rsid w:val="00B831DE"/>
    <w:rsid w:val="00B83A3D"/>
    <w:rsid w:val="00B928C5"/>
    <w:rsid w:val="00B95F79"/>
    <w:rsid w:val="00B9768A"/>
    <w:rsid w:val="00BB1997"/>
    <w:rsid w:val="00BB1CAB"/>
    <w:rsid w:val="00BB3281"/>
    <w:rsid w:val="00BB6120"/>
    <w:rsid w:val="00BB7BBC"/>
    <w:rsid w:val="00BC24B8"/>
    <w:rsid w:val="00BD3DD9"/>
    <w:rsid w:val="00BD58AC"/>
    <w:rsid w:val="00BD5DF9"/>
    <w:rsid w:val="00BE48F8"/>
    <w:rsid w:val="00C03F8B"/>
    <w:rsid w:val="00C058D8"/>
    <w:rsid w:val="00C11DEC"/>
    <w:rsid w:val="00C16177"/>
    <w:rsid w:val="00C212CB"/>
    <w:rsid w:val="00C21396"/>
    <w:rsid w:val="00C23CF3"/>
    <w:rsid w:val="00C265AC"/>
    <w:rsid w:val="00C32E18"/>
    <w:rsid w:val="00C344F6"/>
    <w:rsid w:val="00C6262E"/>
    <w:rsid w:val="00C66C07"/>
    <w:rsid w:val="00C66F01"/>
    <w:rsid w:val="00C67E33"/>
    <w:rsid w:val="00C72948"/>
    <w:rsid w:val="00C774DC"/>
    <w:rsid w:val="00C77B20"/>
    <w:rsid w:val="00C77CA4"/>
    <w:rsid w:val="00C818D1"/>
    <w:rsid w:val="00C82B2A"/>
    <w:rsid w:val="00C8327A"/>
    <w:rsid w:val="00C86A71"/>
    <w:rsid w:val="00C914E6"/>
    <w:rsid w:val="00C93693"/>
    <w:rsid w:val="00CA4785"/>
    <w:rsid w:val="00CA4FB3"/>
    <w:rsid w:val="00CB3052"/>
    <w:rsid w:val="00CC1791"/>
    <w:rsid w:val="00CC1F04"/>
    <w:rsid w:val="00CC37F0"/>
    <w:rsid w:val="00CC62A2"/>
    <w:rsid w:val="00CD0F2F"/>
    <w:rsid w:val="00CD5420"/>
    <w:rsid w:val="00CD686B"/>
    <w:rsid w:val="00CF54EC"/>
    <w:rsid w:val="00D005AC"/>
    <w:rsid w:val="00D0738B"/>
    <w:rsid w:val="00D1563E"/>
    <w:rsid w:val="00D21276"/>
    <w:rsid w:val="00D2224B"/>
    <w:rsid w:val="00D25410"/>
    <w:rsid w:val="00D32455"/>
    <w:rsid w:val="00D33E10"/>
    <w:rsid w:val="00D40F74"/>
    <w:rsid w:val="00D446D1"/>
    <w:rsid w:val="00D55CE7"/>
    <w:rsid w:val="00D621CD"/>
    <w:rsid w:val="00D63902"/>
    <w:rsid w:val="00D80729"/>
    <w:rsid w:val="00D83559"/>
    <w:rsid w:val="00D84CD5"/>
    <w:rsid w:val="00DA0080"/>
    <w:rsid w:val="00DA3429"/>
    <w:rsid w:val="00DA3E50"/>
    <w:rsid w:val="00DB75A5"/>
    <w:rsid w:val="00DC184A"/>
    <w:rsid w:val="00DD32A6"/>
    <w:rsid w:val="00DD3901"/>
    <w:rsid w:val="00DE5624"/>
    <w:rsid w:val="00DE5F55"/>
    <w:rsid w:val="00DE6669"/>
    <w:rsid w:val="00DE6F6F"/>
    <w:rsid w:val="00DE7B34"/>
    <w:rsid w:val="00DF4B22"/>
    <w:rsid w:val="00DF72D5"/>
    <w:rsid w:val="00E050A1"/>
    <w:rsid w:val="00E06C7C"/>
    <w:rsid w:val="00E108B2"/>
    <w:rsid w:val="00E11F90"/>
    <w:rsid w:val="00E12483"/>
    <w:rsid w:val="00E17551"/>
    <w:rsid w:val="00E202E0"/>
    <w:rsid w:val="00E252B5"/>
    <w:rsid w:val="00E507D3"/>
    <w:rsid w:val="00E57994"/>
    <w:rsid w:val="00E60F1D"/>
    <w:rsid w:val="00E63A9B"/>
    <w:rsid w:val="00E67C1A"/>
    <w:rsid w:val="00E7285D"/>
    <w:rsid w:val="00E84D04"/>
    <w:rsid w:val="00E86169"/>
    <w:rsid w:val="00E947A1"/>
    <w:rsid w:val="00E94927"/>
    <w:rsid w:val="00EA1987"/>
    <w:rsid w:val="00EB7E81"/>
    <w:rsid w:val="00EC14F6"/>
    <w:rsid w:val="00EC545E"/>
    <w:rsid w:val="00EF05BC"/>
    <w:rsid w:val="00EF1428"/>
    <w:rsid w:val="00EF2A61"/>
    <w:rsid w:val="00F1187B"/>
    <w:rsid w:val="00F1386F"/>
    <w:rsid w:val="00F21926"/>
    <w:rsid w:val="00F2646E"/>
    <w:rsid w:val="00F3088A"/>
    <w:rsid w:val="00F31626"/>
    <w:rsid w:val="00F37C8F"/>
    <w:rsid w:val="00F4288A"/>
    <w:rsid w:val="00F52B8E"/>
    <w:rsid w:val="00F56C76"/>
    <w:rsid w:val="00F713F5"/>
    <w:rsid w:val="00F71DCE"/>
    <w:rsid w:val="00F74A22"/>
    <w:rsid w:val="00F95BD1"/>
    <w:rsid w:val="00F96314"/>
    <w:rsid w:val="00FA5E8E"/>
    <w:rsid w:val="00FB1A9A"/>
    <w:rsid w:val="00FB2394"/>
    <w:rsid w:val="00FB540C"/>
    <w:rsid w:val="00FC2BDB"/>
    <w:rsid w:val="00FC4418"/>
    <w:rsid w:val="00FD12C8"/>
    <w:rsid w:val="00FE0375"/>
    <w:rsid w:val="00FE049A"/>
    <w:rsid w:val="00FF164B"/>
    <w:rsid w:val="00FF3CCC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C2AB1"/>
  <w15:docId w15:val="{5AD737B6-8A5B-4A49-8191-1FFD904C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F9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E48F8"/>
    <w:pPr>
      <w:keepNext/>
      <w:keepLines/>
      <w:widowControl/>
      <w:numPr>
        <w:numId w:val="1"/>
      </w:numPr>
      <w:spacing w:before="240" w:after="0"/>
      <w:ind w:left="426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8F8"/>
    <w:pPr>
      <w:keepNext/>
      <w:keepLines/>
      <w:widowControl/>
      <w:numPr>
        <w:ilvl w:val="1"/>
        <w:numId w:val="1"/>
      </w:numPr>
      <w:spacing w:before="200" w:after="0"/>
      <w:ind w:left="567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48F8"/>
    <w:pPr>
      <w:keepNext/>
      <w:keepLines/>
      <w:widowControl/>
      <w:numPr>
        <w:ilvl w:val="2"/>
        <w:numId w:val="1"/>
      </w:numPr>
      <w:spacing w:after="60" w:line="240" w:lineRule="auto"/>
      <w:ind w:left="709"/>
      <w:outlineLvl w:val="2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48F8"/>
    <w:pPr>
      <w:keepNext/>
      <w:keepLines/>
      <w:widowControl/>
      <w:numPr>
        <w:ilvl w:val="3"/>
        <w:numId w:val="1"/>
      </w:numPr>
      <w:spacing w:before="200" w:after="0"/>
      <w:ind w:left="851"/>
      <w:outlineLvl w:val="3"/>
    </w:pPr>
    <w:rPr>
      <w:rFonts w:ascii="Cambria" w:eastAsia="Times New Roman" w:hAnsi="Cambria" w:cs="Times New Roman"/>
      <w:b/>
      <w:bCs/>
      <w:i/>
      <w:iCs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48F8"/>
    <w:pPr>
      <w:keepNext/>
      <w:keepLines/>
      <w:widowControl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48F8"/>
    <w:pPr>
      <w:keepNext/>
      <w:keepLines/>
      <w:widowControl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lang w:val="fr-F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48F8"/>
    <w:pPr>
      <w:keepNext/>
      <w:keepLines/>
      <w:widowControl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48F8"/>
    <w:pPr>
      <w:keepNext/>
      <w:keepLines/>
      <w:widowControl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48F8"/>
    <w:pPr>
      <w:keepNext/>
      <w:keepLines/>
      <w:widowControl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48F8"/>
    <w:rPr>
      <w:rFonts w:ascii="Times New Roman" w:eastAsiaTheme="majorEastAsia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BE48F8"/>
    <w:rPr>
      <w:rFonts w:ascii="Times New Roman" w:eastAsia="Times New Roman" w:hAnsi="Times New Roman" w:cs="Times New Roman"/>
      <w:b/>
      <w:bCs/>
      <w:snapToGrid w:val="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E48F8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E48F8"/>
    <w:rPr>
      <w:rFonts w:ascii="Cambria" w:eastAsia="Times New Roman" w:hAnsi="Cambria" w:cs="Times New Roman"/>
      <w:b/>
      <w:bCs/>
      <w:i/>
      <w:iCs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E48F8"/>
    <w:rPr>
      <w:rFonts w:ascii="Cambria" w:eastAsia="Times New Roman" w:hAnsi="Cambria" w:cs="Times New Roman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E48F8"/>
    <w:rPr>
      <w:rFonts w:ascii="Cambria" w:eastAsia="Times New Roman" w:hAnsi="Cambria" w:cs="Times New Roman"/>
      <w:i/>
      <w:iCs/>
      <w:lang w:val="fr-FR"/>
    </w:rPr>
  </w:style>
  <w:style w:type="character" w:customStyle="1" w:styleId="Heading7Char">
    <w:name w:val="Heading 7 Char"/>
    <w:basedOn w:val="DefaultParagraphFont"/>
    <w:link w:val="Heading7"/>
    <w:uiPriority w:val="99"/>
    <w:rsid w:val="00BE48F8"/>
    <w:rPr>
      <w:rFonts w:ascii="Cambria" w:eastAsia="Times New Roman" w:hAnsi="Cambria" w:cs="Times New Roman"/>
      <w:i/>
      <w:i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rsid w:val="00BE48F8"/>
    <w:rPr>
      <w:rFonts w:ascii="Cambria" w:eastAsia="Times New Roman" w:hAnsi="Cambria" w:cs="Times New Roman"/>
      <w:color w:val="404040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9"/>
    <w:rsid w:val="00BE48F8"/>
    <w:rPr>
      <w:rFonts w:ascii="Cambria" w:eastAsia="Times New Roman" w:hAnsi="Cambria" w:cs="Times New Roman"/>
      <w:i/>
      <w:iCs/>
      <w:color w:val="404040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BE48F8"/>
    <w:pPr>
      <w:widowControl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E48F8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rsid w:val="00BE48F8"/>
    <w:pPr>
      <w:widowControl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BE48F8"/>
    <w:rPr>
      <w:rFonts w:ascii="Calibri" w:eastAsia="Calibri" w:hAnsi="Calibri" w:cs="Times New Roman"/>
      <w:lang w:val="fr-FR"/>
    </w:rPr>
  </w:style>
  <w:style w:type="character" w:styleId="PageNumber">
    <w:name w:val="page number"/>
    <w:basedOn w:val="DefaultParagraphFont"/>
    <w:rsid w:val="00BE48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1D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BB1CAB"/>
    <w:rPr>
      <w:rFonts w:ascii="Times New Roman" w:hAnsi="Times New Roman"/>
      <w:noProof w:val="0"/>
      <w:sz w:val="27"/>
      <w:vertAlign w:val="superscript"/>
      <w:lang w:val="en-US"/>
    </w:rPr>
  </w:style>
  <w:style w:type="character" w:styleId="CommentReference">
    <w:name w:val="annotation reference"/>
    <w:semiHidden/>
    <w:rsid w:val="007F4E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4E11"/>
    <w:pPr>
      <w:widowControl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F4E1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7F4E11"/>
    <w:pPr>
      <w:widowControl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qFormat/>
    <w:rsid w:val="007F4E1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F1"/>
    <w:pPr>
      <w:widowControl w:val="0"/>
      <w:spacing w:after="200"/>
    </w:pPr>
    <w:rPr>
      <w:rFonts w:asciiTheme="minorHAnsi" w:eastAsiaTheme="minorHAnsi" w:hAnsiTheme="minorHAnsi" w:cstheme="minorBidi"/>
      <w:b/>
      <w:bCs/>
      <w:snapToGrid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F1"/>
    <w:rPr>
      <w:rFonts w:ascii="Times New Roman" w:eastAsia="Times New Roman" w:hAnsi="Times New Roman" w:cs="Times New Roman"/>
      <w:b/>
      <w:bCs/>
      <w:snapToGrid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F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Revision">
    <w:name w:val="Revision"/>
    <w:hidden/>
    <w:uiPriority w:val="99"/>
    <w:semiHidden/>
    <w:rsid w:val="0091383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67E33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E33"/>
    <w:rPr>
      <w:rFonts w:ascii="Calibri" w:hAnsi="Calibri"/>
      <w:szCs w:val="21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582B05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B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B2A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3272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E0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624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17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868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546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698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10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438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226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24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386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36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7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fpa.org/featured-publication/gbvie-standard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39C4-9A71-4875-BC27-59804DC4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RRF South Sudan</dc:creator>
  <cp:lastModifiedBy>HINGLEY Catherine Ana</cp:lastModifiedBy>
  <cp:revision>6</cp:revision>
  <cp:lastPrinted>2017-11-16T05:10:00Z</cp:lastPrinted>
  <dcterms:created xsi:type="dcterms:W3CDTF">2018-04-02T15:50:00Z</dcterms:created>
  <dcterms:modified xsi:type="dcterms:W3CDTF">2018-04-02T17:09:00Z</dcterms:modified>
</cp:coreProperties>
</file>